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Layout w:type="fixed"/>
        <w:tblLook w:val="04A0" w:firstRow="1" w:lastRow="0" w:firstColumn="1" w:lastColumn="0" w:noHBand="0" w:noVBand="1"/>
      </w:tblPr>
      <w:tblGrid>
        <w:gridCol w:w="6460"/>
        <w:gridCol w:w="3038"/>
      </w:tblGrid>
      <w:tr w:rsidR="00DD3AA5" w:rsidRPr="0019036F" w14:paraId="0F033A7E" w14:textId="77777777" w:rsidTr="004A6EC3">
        <w:trPr>
          <w:trHeight w:val="2095"/>
        </w:trPr>
        <w:tc>
          <w:tcPr>
            <w:tcW w:w="6460" w:type="dxa"/>
            <w:shd w:val="clear" w:color="auto" w:fill="auto"/>
          </w:tcPr>
          <w:p w14:paraId="002AD71A" w14:textId="7EAB4DEF" w:rsidR="00DD3AA5" w:rsidRPr="0019036F" w:rsidRDefault="00DD3AA5" w:rsidP="004A6EC3">
            <w:pPr>
              <w:spacing w:after="0"/>
              <w:ind w:right="2790"/>
              <w:rPr>
                <w:rFonts w:ascii="Times New Roman" w:hAnsi="Times New Roman" w:cs="Times New Roman"/>
                <w:noProof/>
                <w:lang w:eastAsia="fr-FR"/>
              </w:rPr>
            </w:pPr>
            <w:r w:rsidRPr="0019036F">
              <w:rPr>
                <w:rFonts w:ascii="Times New Roman" w:hAnsi="Times New Roman" w:cs="Times New Roman"/>
                <w:noProof/>
                <w:lang w:val="en-US"/>
              </w:rPr>
              <w:drawing>
                <wp:anchor distT="0" distB="0" distL="114300" distR="114300" simplePos="0" relativeHeight="251659264" behindDoc="1" locked="0" layoutInCell="0" allowOverlap="1" wp14:anchorId="749D2ABC" wp14:editId="1493A19A">
                  <wp:simplePos x="0" y="0"/>
                  <wp:positionH relativeFrom="column">
                    <wp:posOffset>4271645</wp:posOffset>
                  </wp:positionH>
                  <wp:positionV relativeFrom="paragraph">
                    <wp:posOffset>208915</wp:posOffset>
                  </wp:positionV>
                  <wp:extent cx="1117600" cy="697865"/>
                  <wp:effectExtent l="0" t="0" r="6350" b="6985"/>
                  <wp:wrapNone/>
                  <wp:docPr id="2" name="Picture 2" descr="EUUN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EUUN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7600" cy="697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036F">
              <w:rPr>
                <w:rFonts w:ascii="Times New Roman" w:hAnsi="Times New Roman" w:cs="Times New Roman"/>
                <w:noProof/>
                <w:lang w:val="en-US"/>
              </w:rPr>
              <w:drawing>
                <wp:inline distT="0" distB="0" distL="0" distR="0" wp14:anchorId="4C7D5B78" wp14:editId="50945CDE">
                  <wp:extent cx="1020445" cy="1237615"/>
                  <wp:effectExtent l="0" t="0" r="825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0445" cy="1237615"/>
                          </a:xfrm>
                          <a:prstGeom prst="rect">
                            <a:avLst/>
                          </a:prstGeom>
                          <a:noFill/>
                          <a:ln>
                            <a:noFill/>
                          </a:ln>
                        </pic:spPr>
                      </pic:pic>
                    </a:graphicData>
                  </a:graphic>
                </wp:inline>
              </w:drawing>
            </w:r>
          </w:p>
        </w:tc>
        <w:tc>
          <w:tcPr>
            <w:tcW w:w="3038" w:type="dxa"/>
            <w:shd w:val="clear" w:color="auto" w:fill="auto"/>
          </w:tcPr>
          <w:p w14:paraId="068A9F05" w14:textId="77777777" w:rsidR="00DD3AA5" w:rsidRPr="0019036F" w:rsidRDefault="00DD3AA5" w:rsidP="004A6EC3">
            <w:pPr>
              <w:spacing w:after="0"/>
              <w:ind w:right="2790"/>
              <w:jc w:val="right"/>
              <w:rPr>
                <w:rFonts w:ascii="Times New Roman" w:hAnsi="Times New Roman" w:cs="Times New Roman"/>
                <w:noProof/>
                <w:lang w:eastAsia="fr-FR"/>
              </w:rPr>
            </w:pPr>
          </w:p>
        </w:tc>
      </w:tr>
    </w:tbl>
    <w:p w14:paraId="3ADCF40C" w14:textId="77777777" w:rsidR="00DC0E3F" w:rsidRPr="0019036F" w:rsidRDefault="00DC0E3F" w:rsidP="00DC0E3F">
      <w:pPr>
        <w:jc w:val="center"/>
        <w:rPr>
          <w:rFonts w:ascii="Times New Roman" w:hAnsi="Times New Roman" w:cs="Times New Roman"/>
          <w:b/>
          <w:sz w:val="40"/>
        </w:rPr>
      </w:pPr>
    </w:p>
    <w:p w14:paraId="29B9F497" w14:textId="4243B754" w:rsidR="00C0500D" w:rsidRPr="0019036F" w:rsidRDefault="00DC0E3F" w:rsidP="00DC0E3F">
      <w:pPr>
        <w:jc w:val="center"/>
        <w:rPr>
          <w:rFonts w:ascii="Times New Roman" w:hAnsi="Times New Roman" w:cs="Times New Roman"/>
          <w:b/>
          <w:sz w:val="40"/>
        </w:rPr>
      </w:pPr>
      <w:r w:rsidRPr="0019036F">
        <w:rPr>
          <w:rFonts w:ascii="Times New Roman" w:hAnsi="Times New Roman" w:cs="Times New Roman"/>
          <w:b/>
          <w:sz w:val="40"/>
        </w:rPr>
        <w:t>Development Initiative for Northern Uganda (DINU)</w:t>
      </w:r>
    </w:p>
    <w:p w14:paraId="1E4AEC07" w14:textId="77777777" w:rsidR="00DC0E3F" w:rsidRPr="0019036F" w:rsidRDefault="00DC0E3F" w:rsidP="00DC0E3F">
      <w:pPr>
        <w:pStyle w:val="SubTitle1"/>
        <w:spacing w:after="0"/>
        <w:rPr>
          <w:b w:val="0"/>
          <w:sz w:val="32"/>
          <w:szCs w:val="32"/>
        </w:rPr>
      </w:pPr>
      <w:r w:rsidRPr="0019036F">
        <w:rPr>
          <w:b w:val="0"/>
          <w:sz w:val="32"/>
          <w:szCs w:val="32"/>
        </w:rPr>
        <w:t>11</w:t>
      </w:r>
      <w:r w:rsidRPr="0019036F">
        <w:rPr>
          <w:b w:val="0"/>
          <w:sz w:val="32"/>
          <w:szCs w:val="32"/>
          <w:vertAlign w:val="superscript"/>
        </w:rPr>
        <w:t>th</w:t>
      </w:r>
      <w:r w:rsidRPr="0019036F">
        <w:rPr>
          <w:b w:val="0"/>
          <w:sz w:val="32"/>
          <w:szCs w:val="32"/>
        </w:rPr>
        <w:t xml:space="preserve"> European Development Fund</w:t>
      </w:r>
    </w:p>
    <w:p w14:paraId="3B4D9126" w14:textId="77777777" w:rsidR="00DC0E3F" w:rsidRPr="0019036F" w:rsidRDefault="00DC0E3F" w:rsidP="00DC0E3F">
      <w:pPr>
        <w:jc w:val="center"/>
        <w:rPr>
          <w:rFonts w:ascii="Times New Roman" w:hAnsi="Times New Roman" w:cs="Times New Roman"/>
          <w:b/>
          <w:sz w:val="32"/>
          <w:szCs w:val="32"/>
        </w:rPr>
      </w:pPr>
      <w:r w:rsidRPr="0019036F">
        <w:rPr>
          <w:rFonts w:ascii="Times New Roman" w:hAnsi="Times New Roman" w:cs="Times New Roman"/>
          <w:b/>
          <w:sz w:val="32"/>
          <w:szCs w:val="32"/>
        </w:rPr>
        <w:t>Under the Financing Agreement No. FED/2016/038-781</w:t>
      </w:r>
    </w:p>
    <w:p w14:paraId="44E2D582" w14:textId="038F2F7E" w:rsidR="00C0500D" w:rsidRPr="0019036F" w:rsidRDefault="00C0500D" w:rsidP="008D0BA1">
      <w:pPr>
        <w:jc w:val="both"/>
        <w:rPr>
          <w:rFonts w:ascii="Times New Roman" w:hAnsi="Times New Roman" w:cs="Times New Roman"/>
        </w:rPr>
      </w:pPr>
    </w:p>
    <w:p w14:paraId="271DA5A1" w14:textId="3767D573" w:rsidR="00DC0E3F" w:rsidRPr="0019036F" w:rsidRDefault="00DC0E3F" w:rsidP="008D0BA1">
      <w:pPr>
        <w:jc w:val="both"/>
        <w:rPr>
          <w:rFonts w:ascii="Times New Roman" w:hAnsi="Times New Roman" w:cs="Times New Roman"/>
        </w:rPr>
      </w:pPr>
    </w:p>
    <w:p w14:paraId="25746CF4" w14:textId="77777777" w:rsidR="00DC0E3F" w:rsidRPr="0019036F" w:rsidRDefault="00DC0E3F" w:rsidP="008D0BA1">
      <w:pPr>
        <w:jc w:val="both"/>
        <w:rPr>
          <w:rFonts w:ascii="Times New Roman" w:hAnsi="Times New Roman" w:cs="Times New Roman"/>
        </w:rPr>
      </w:pPr>
    </w:p>
    <w:p w14:paraId="7FC9CFD5" w14:textId="35A4903E" w:rsidR="00DC0E3F" w:rsidRPr="0019036F" w:rsidRDefault="00DC0E3F" w:rsidP="00DC0E3F">
      <w:pPr>
        <w:jc w:val="center"/>
        <w:rPr>
          <w:rFonts w:ascii="Times New Roman" w:hAnsi="Times New Roman" w:cs="Times New Roman"/>
          <w:b/>
          <w:sz w:val="32"/>
          <w:szCs w:val="32"/>
        </w:rPr>
      </w:pPr>
      <w:r w:rsidRPr="0019036F">
        <w:rPr>
          <w:rFonts w:ascii="Times New Roman" w:hAnsi="Times New Roman" w:cs="Times New Roman"/>
          <w:b/>
          <w:sz w:val="32"/>
          <w:szCs w:val="32"/>
        </w:rPr>
        <w:t xml:space="preserve">Call for </w:t>
      </w:r>
      <w:r w:rsidR="006D3C4C">
        <w:rPr>
          <w:rFonts w:ascii="Times New Roman" w:hAnsi="Times New Roman" w:cs="Times New Roman"/>
          <w:b/>
          <w:sz w:val="32"/>
          <w:szCs w:val="32"/>
        </w:rPr>
        <w:t>Concept Note</w:t>
      </w:r>
      <w:r w:rsidRPr="0019036F">
        <w:rPr>
          <w:rFonts w:ascii="Times New Roman" w:hAnsi="Times New Roman" w:cs="Times New Roman"/>
          <w:b/>
          <w:sz w:val="32"/>
          <w:szCs w:val="32"/>
        </w:rPr>
        <w:t>s</w:t>
      </w:r>
    </w:p>
    <w:p w14:paraId="297EFE6E" w14:textId="77777777" w:rsidR="00DC0E3F" w:rsidRPr="0019036F" w:rsidRDefault="00DC0E3F" w:rsidP="00DC0E3F">
      <w:pPr>
        <w:pStyle w:val="SubTitle2"/>
        <w:rPr>
          <w:b w:val="0"/>
        </w:rPr>
      </w:pPr>
      <w:r w:rsidRPr="0019036F">
        <w:rPr>
          <w:b w:val="0"/>
        </w:rPr>
        <w:t>Reference: EuropeAid/164469/Indirect Management/ACT/UG</w:t>
      </w:r>
    </w:p>
    <w:p w14:paraId="1F556135" w14:textId="7E848DC0" w:rsidR="00DC0E3F" w:rsidRPr="0019036F" w:rsidRDefault="00DC0E3F" w:rsidP="008D0BA1">
      <w:pPr>
        <w:jc w:val="both"/>
        <w:rPr>
          <w:rFonts w:ascii="Times New Roman" w:hAnsi="Times New Roman" w:cs="Times New Roman"/>
        </w:rPr>
      </w:pPr>
    </w:p>
    <w:p w14:paraId="3E3EF909" w14:textId="53261659" w:rsidR="00DC0E3F" w:rsidRPr="0019036F" w:rsidRDefault="00DC0E3F" w:rsidP="008D0BA1">
      <w:pPr>
        <w:jc w:val="both"/>
        <w:rPr>
          <w:rFonts w:ascii="Times New Roman" w:hAnsi="Times New Roman" w:cs="Times New Roman"/>
        </w:rPr>
      </w:pPr>
    </w:p>
    <w:p w14:paraId="773429BF" w14:textId="77777777" w:rsidR="00DC0E3F" w:rsidRPr="0019036F" w:rsidRDefault="00DC0E3F" w:rsidP="008D0BA1">
      <w:pPr>
        <w:jc w:val="both"/>
        <w:rPr>
          <w:rFonts w:ascii="Times New Roman" w:hAnsi="Times New Roman" w:cs="Times New Roman"/>
        </w:rPr>
      </w:pPr>
    </w:p>
    <w:p w14:paraId="5BBAB2CA" w14:textId="1E67E6A2" w:rsidR="00DC0E3F" w:rsidRPr="0019036F" w:rsidRDefault="00DC0E3F" w:rsidP="00DC0E3F">
      <w:pPr>
        <w:jc w:val="center"/>
        <w:rPr>
          <w:rFonts w:ascii="Times New Roman" w:hAnsi="Times New Roman" w:cs="Times New Roman"/>
          <w:b/>
          <w:sz w:val="36"/>
        </w:rPr>
      </w:pPr>
      <w:r w:rsidRPr="0019036F">
        <w:rPr>
          <w:rFonts w:ascii="Times New Roman" w:hAnsi="Times New Roman" w:cs="Times New Roman"/>
          <w:b/>
          <w:sz w:val="36"/>
        </w:rPr>
        <w:t>CLARIFICATIONS TO QUESTIONS RECEIVED</w:t>
      </w:r>
    </w:p>
    <w:p w14:paraId="07885F4A" w14:textId="447E890B" w:rsidR="005D19A8" w:rsidRPr="0019036F" w:rsidRDefault="005D19A8" w:rsidP="005D19A8">
      <w:pPr>
        <w:shd w:val="clear" w:color="auto" w:fill="FFFFFF" w:themeFill="background1"/>
        <w:jc w:val="center"/>
        <w:rPr>
          <w:rFonts w:ascii="Times New Roman" w:hAnsi="Times New Roman" w:cs="Times New Roman"/>
          <w:b/>
          <w:sz w:val="36"/>
        </w:rPr>
      </w:pPr>
      <w:r>
        <w:rPr>
          <w:rFonts w:ascii="Times New Roman" w:hAnsi="Times New Roman" w:cs="Times New Roman"/>
          <w:b/>
          <w:sz w:val="36"/>
        </w:rPr>
        <w:t>2</w:t>
      </w:r>
      <w:r w:rsidRPr="005D19A8">
        <w:rPr>
          <w:rFonts w:ascii="Times New Roman" w:hAnsi="Times New Roman" w:cs="Times New Roman"/>
          <w:b/>
          <w:sz w:val="36"/>
          <w:vertAlign w:val="superscript"/>
        </w:rPr>
        <w:t>ND</w:t>
      </w:r>
      <w:r>
        <w:rPr>
          <w:rFonts w:ascii="Times New Roman" w:hAnsi="Times New Roman" w:cs="Times New Roman"/>
          <w:b/>
          <w:sz w:val="36"/>
        </w:rPr>
        <w:t xml:space="preserve"> SET OF QUESTIONS: Nos. </w:t>
      </w:r>
      <w:r w:rsidR="00F7148F">
        <w:rPr>
          <w:rFonts w:ascii="Times New Roman" w:hAnsi="Times New Roman" w:cs="Times New Roman"/>
          <w:b/>
          <w:sz w:val="36"/>
        </w:rPr>
        <w:t>12</w:t>
      </w:r>
      <w:r w:rsidRPr="00F70D4F">
        <w:rPr>
          <w:rFonts w:ascii="Times New Roman" w:hAnsi="Times New Roman" w:cs="Times New Roman"/>
          <w:b/>
          <w:sz w:val="36"/>
        </w:rPr>
        <w:t>-1</w:t>
      </w:r>
      <w:r w:rsidR="00F7148F">
        <w:rPr>
          <w:rFonts w:ascii="Times New Roman" w:hAnsi="Times New Roman" w:cs="Times New Roman"/>
          <w:b/>
          <w:sz w:val="36"/>
        </w:rPr>
        <w:t>50</w:t>
      </w:r>
    </w:p>
    <w:p w14:paraId="22D21284" w14:textId="10E49288" w:rsidR="00DC0E3F" w:rsidRPr="0019036F" w:rsidRDefault="00DC0E3F" w:rsidP="00DC0E3F">
      <w:pPr>
        <w:pStyle w:val="SubTitle2"/>
        <w:rPr>
          <w:b w:val="0"/>
        </w:rPr>
      </w:pPr>
    </w:p>
    <w:p w14:paraId="2BD63117" w14:textId="77777777" w:rsidR="00DC0E3F" w:rsidRPr="0019036F" w:rsidRDefault="00DC0E3F" w:rsidP="00DC0E3F">
      <w:pPr>
        <w:pStyle w:val="SubTitle2"/>
        <w:rPr>
          <w:b w:val="0"/>
        </w:rPr>
      </w:pPr>
    </w:p>
    <w:p w14:paraId="064EB9EA" w14:textId="2AA2D765" w:rsidR="00C649FB" w:rsidRPr="0019036F" w:rsidRDefault="00DC0E3F" w:rsidP="00DC0E3F">
      <w:pPr>
        <w:pStyle w:val="SubTitle2"/>
        <w:rPr>
          <w:b w:val="0"/>
        </w:rPr>
      </w:pPr>
      <w:r w:rsidRPr="0019036F">
        <w:rPr>
          <w:b w:val="0"/>
        </w:rPr>
        <w:t xml:space="preserve">Publication Date:    </w:t>
      </w:r>
      <w:r w:rsidR="007D6A53" w:rsidRPr="008019E3">
        <w:rPr>
          <w:b w:val="0"/>
        </w:rPr>
        <w:t xml:space="preserve">14 </w:t>
      </w:r>
      <w:r w:rsidRPr="008019E3">
        <w:rPr>
          <w:b w:val="0"/>
        </w:rPr>
        <w:t>June 2019</w:t>
      </w:r>
    </w:p>
    <w:p w14:paraId="6A12A507" w14:textId="77777777" w:rsidR="00C649FB" w:rsidRPr="0019036F" w:rsidRDefault="00C649FB">
      <w:pPr>
        <w:rPr>
          <w:rFonts w:ascii="Times New Roman" w:eastAsia="Times New Roman" w:hAnsi="Times New Roman" w:cs="Times New Roman"/>
          <w:snapToGrid w:val="0"/>
          <w:sz w:val="32"/>
          <w:szCs w:val="20"/>
        </w:rPr>
      </w:pPr>
      <w:r w:rsidRPr="0019036F">
        <w:rPr>
          <w:rFonts w:ascii="Times New Roman" w:hAnsi="Times New Roman" w:cs="Times New Roman"/>
          <w:b/>
        </w:rPr>
        <w:br w:type="page"/>
      </w:r>
    </w:p>
    <w:p w14:paraId="28A04AAA" w14:textId="77777777" w:rsidR="00C649FB" w:rsidRPr="0019036F" w:rsidRDefault="00C649FB" w:rsidP="00DC0E3F">
      <w:pPr>
        <w:pStyle w:val="SubTitle2"/>
        <w:rPr>
          <w:b w:val="0"/>
        </w:rPr>
        <w:sectPr w:rsidR="00C649FB" w:rsidRPr="0019036F" w:rsidSect="00EF0B05">
          <w:footerReference w:type="default" r:id="rId10"/>
          <w:footerReference w:type="first" r:id="rId11"/>
          <w:pgSz w:w="11906" w:h="16838" w:code="9"/>
          <w:pgMar w:top="720" w:right="720" w:bottom="720" w:left="720" w:header="708" w:footer="708" w:gutter="0"/>
          <w:cols w:space="708"/>
          <w:titlePg/>
          <w:docGrid w:linePitch="360"/>
        </w:sectPr>
      </w:pPr>
    </w:p>
    <w:tbl>
      <w:tblPr>
        <w:tblStyle w:val="TableGrid"/>
        <w:tblW w:w="14410" w:type="dxa"/>
        <w:tblLook w:val="04A0" w:firstRow="1" w:lastRow="0" w:firstColumn="1" w:lastColumn="0" w:noHBand="0" w:noVBand="1"/>
      </w:tblPr>
      <w:tblGrid>
        <w:gridCol w:w="851"/>
        <w:gridCol w:w="6783"/>
        <w:gridCol w:w="6776"/>
      </w:tblGrid>
      <w:tr w:rsidR="00D91415" w:rsidRPr="002D32F6" w14:paraId="5C2C6A5D" w14:textId="77777777" w:rsidTr="002D32F6">
        <w:trPr>
          <w:tblHeader/>
        </w:trPr>
        <w:tc>
          <w:tcPr>
            <w:tcW w:w="851" w:type="dxa"/>
            <w:shd w:val="clear" w:color="auto" w:fill="D9D9D9" w:themeFill="background1" w:themeFillShade="D9"/>
          </w:tcPr>
          <w:p w14:paraId="230F3257" w14:textId="4FC59B04" w:rsidR="00D91415" w:rsidRPr="002D32F6" w:rsidRDefault="007C14FA" w:rsidP="002D32F6">
            <w:pPr>
              <w:jc w:val="center"/>
              <w:rPr>
                <w:rFonts w:ascii="Times New Roman" w:hAnsi="Times New Roman" w:cs="Times New Roman"/>
                <w:b/>
                <w:sz w:val="24"/>
              </w:rPr>
            </w:pPr>
            <w:bookmarkStart w:id="0" w:name="_GoBack"/>
            <w:bookmarkEnd w:id="0"/>
            <w:r w:rsidRPr="002D32F6">
              <w:rPr>
                <w:rFonts w:ascii="Times New Roman" w:hAnsi="Times New Roman" w:cs="Times New Roman"/>
                <w:b/>
                <w:sz w:val="24"/>
              </w:rPr>
              <w:lastRenderedPageBreak/>
              <w:t>N°</w:t>
            </w:r>
          </w:p>
        </w:tc>
        <w:tc>
          <w:tcPr>
            <w:tcW w:w="6783" w:type="dxa"/>
            <w:shd w:val="clear" w:color="auto" w:fill="D9D9D9" w:themeFill="background1" w:themeFillShade="D9"/>
          </w:tcPr>
          <w:p w14:paraId="6DC2BDCA" w14:textId="76DF960F" w:rsidR="00D91415" w:rsidRPr="002D32F6" w:rsidRDefault="00D91415" w:rsidP="002D32F6">
            <w:pPr>
              <w:jc w:val="center"/>
              <w:rPr>
                <w:rFonts w:ascii="Times New Roman" w:hAnsi="Times New Roman" w:cs="Times New Roman"/>
                <w:sz w:val="24"/>
              </w:rPr>
            </w:pPr>
            <w:r w:rsidRPr="002D32F6">
              <w:rPr>
                <w:rFonts w:ascii="Times New Roman" w:hAnsi="Times New Roman" w:cs="Times New Roman"/>
                <w:b/>
                <w:sz w:val="24"/>
              </w:rPr>
              <w:t>QUESTIONS</w:t>
            </w:r>
          </w:p>
        </w:tc>
        <w:tc>
          <w:tcPr>
            <w:tcW w:w="6776" w:type="dxa"/>
            <w:shd w:val="clear" w:color="auto" w:fill="D9D9D9" w:themeFill="background1" w:themeFillShade="D9"/>
          </w:tcPr>
          <w:p w14:paraId="62F7EC2D" w14:textId="109E4110" w:rsidR="00D91415" w:rsidRPr="002D32F6" w:rsidRDefault="00D91415" w:rsidP="002D32F6">
            <w:pPr>
              <w:jc w:val="center"/>
              <w:rPr>
                <w:rFonts w:ascii="Times New Roman" w:hAnsi="Times New Roman" w:cs="Times New Roman"/>
                <w:sz w:val="24"/>
              </w:rPr>
            </w:pPr>
            <w:r w:rsidRPr="002D32F6">
              <w:rPr>
                <w:rFonts w:ascii="Times New Roman" w:hAnsi="Times New Roman" w:cs="Times New Roman"/>
                <w:b/>
                <w:sz w:val="24"/>
              </w:rPr>
              <w:t>ANSWERS / CLARIFICATIONS</w:t>
            </w:r>
          </w:p>
        </w:tc>
      </w:tr>
      <w:tr w:rsidR="00127C72" w:rsidRPr="00D91415" w14:paraId="16A7F4FF" w14:textId="77777777" w:rsidTr="002D32F6">
        <w:tc>
          <w:tcPr>
            <w:tcW w:w="14410" w:type="dxa"/>
            <w:gridSpan w:val="3"/>
            <w:shd w:val="clear" w:color="auto" w:fill="FBE4D5" w:themeFill="accent2" w:themeFillTint="33"/>
          </w:tcPr>
          <w:p w14:paraId="6C4B0FBF" w14:textId="6EBD4261" w:rsidR="00127C72" w:rsidRPr="002D32F6" w:rsidDel="004302AA" w:rsidRDefault="00127C72" w:rsidP="00127C72">
            <w:pPr>
              <w:jc w:val="center"/>
              <w:rPr>
                <w:rFonts w:ascii="Times New Roman" w:eastAsia="Times New Roman" w:hAnsi="Times New Roman" w:cs="Times New Roman"/>
                <w:b/>
                <w:bCs/>
                <w:color w:val="000000"/>
                <w:sz w:val="28"/>
              </w:rPr>
            </w:pPr>
            <w:r w:rsidRPr="002D32F6">
              <w:rPr>
                <w:rFonts w:ascii="Times New Roman" w:eastAsia="Times New Roman" w:hAnsi="Times New Roman" w:cs="Times New Roman"/>
                <w:b/>
                <w:bCs/>
                <w:color w:val="000000"/>
                <w:sz w:val="28"/>
              </w:rPr>
              <w:t>QUESTIONS AND ANSWERS RELATED TO THE PROGRAMME OBJECTIVES AND PRIORITY ISSUES UNDER SECTION 1.2 OF THE GUIDELINES FOR APPLICANTS</w:t>
            </w:r>
          </w:p>
        </w:tc>
      </w:tr>
      <w:tr w:rsidR="008E32D0" w:rsidRPr="00914BD3" w14:paraId="24F9FF50" w14:textId="77777777" w:rsidTr="00915BC1">
        <w:tc>
          <w:tcPr>
            <w:tcW w:w="851" w:type="dxa"/>
            <w:shd w:val="clear" w:color="auto" w:fill="FFFFFF" w:themeFill="background1"/>
          </w:tcPr>
          <w:p w14:paraId="4AD0C31B" w14:textId="77777777" w:rsidR="008E32D0" w:rsidRPr="00914BD3" w:rsidRDefault="008E32D0" w:rsidP="002D32F6">
            <w:pPr>
              <w:pStyle w:val="ListParagraph"/>
              <w:numPr>
                <w:ilvl w:val="0"/>
                <w:numId w:val="21"/>
              </w:numPr>
              <w:jc w:val="center"/>
              <w:rPr>
                <w:rFonts w:ascii="Times New Roman" w:eastAsia="Times New Roman" w:hAnsi="Times New Roman" w:cs="Times New Roman"/>
                <w:bCs/>
                <w:color w:val="000000"/>
              </w:rPr>
            </w:pPr>
          </w:p>
        </w:tc>
        <w:tc>
          <w:tcPr>
            <w:tcW w:w="6783" w:type="dxa"/>
            <w:shd w:val="clear" w:color="auto" w:fill="FFFFFF" w:themeFill="background1"/>
          </w:tcPr>
          <w:p w14:paraId="3BCD49E8" w14:textId="77777777" w:rsidR="009533E8" w:rsidRDefault="008E32D0" w:rsidP="00EA59DA">
            <w:pPr>
              <w:ind w:left="-54"/>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w:t>
            </w:r>
            <w:r w:rsidRPr="009343A2">
              <w:rPr>
                <w:rFonts w:ascii="Times New Roman" w:eastAsia="Times New Roman" w:hAnsi="Times New Roman" w:cs="Times New Roman"/>
                <w:bCs/>
                <w:color w:val="000000"/>
              </w:rPr>
              <w:t>In applying for Lot 2, should the application only address Result 3.3 and it’s or it should also include Result 3.1, 3.2 and 3.4?</w:t>
            </w:r>
            <w:r w:rsidR="009533E8">
              <w:rPr>
                <w:rFonts w:ascii="Times New Roman" w:eastAsia="Times New Roman" w:hAnsi="Times New Roman" w:cs="Times New Roman"/>
                <w:bCs/>
                <w:color w:val="000000"/>
              </w:rPr>
              <w:t xml:space="preserve"> </w:t>
            </w:r>
          </w:p>
          <w:p w14:paraId="28320A38" w14:textId="77777777" w:rsidR="009533E8" w:rsidRDefault="009533E8" w:rsidP="00EA59DA">
            <w:pPr>
              <w:ind w:left="-54"/>
              <w:jc w:val="both"/>
              <w:rPr>
                <w:rFonts w:ascii="Times New Roman" w:eastAsia="Times New Roman" w:hAnsi="Times New Roman" w:cs="Times New Roman"/>
                <w:bCs/>
                <w:color w:val="000000"/>
              </w:rPr>
            </w:pPr>
          </w:p>
          <w:p w14:paraId="7EABA8CE" w14:textId="77777777" w:rsidR="009533E8" w:rsidRDefault="009533E8" w:rsidP="00EA59DA">
            <w:pPr>
              <w:ind w:left="-54"/>
              <w:jc w:val="both"/>
              <w:rPr>
                <w:rFonts w:ascii="Times New Roman" w:eastAsia="Times New Roman" w:hAnsi="Times New Roman" w:cs="Times New Roman"/>
                <w:bCs/>
                <w:color w:val="000000"/>
              </w:rPr>
            </w:pPr>
          </w:p>
          <w:p w14:paraId="47332C21" w14:textId="77777777" w:rsidR="009533E8" w:rsidRDefault="009533E8" w:rsidP="00EA59DA">
            <w:pPr>
              <w:ind w:left="-54"/>
              <w:jc w:val="both"/>
              <w:rPr>
                <w:rFonts w:ascii="Times New Roman" w:eastAsia="Times New Roman" w:hAnsi="Times New Roman" w:cs="Times New Roman"/>
                <w:bCs/>
                <w:color w:val="000000"/>
              </w:rPr>
            </w:pPr>
          </w:p>
          <w:p w14:paraId="0D2C6CAB" w14:textId="77777777" w:rsidR="009533E8" w:rsidRDefault="009533E8" w:rsidP="00EA59DA">
            <w:pPr>
              <w:ind w:left="-54"/>
              <w:jc w:val="both"/>
              <w:rPr>
                <w:rFonts w:ascii="Times New Roman" w:eastAsia="Times New Roman" w:hAnsi="Times New Roman" w:cs="Times New Roman"/>
                <w:bCs/>
                <w:color w:val="000000"/>
              </w:rPr>
            </w:pPr>
          </w:p>
          <w:p w14:paraId="66BCD202" w14:textId="77777777" w:rsidR="009533E8" w:rsidRDefault="009533E8" w:rsidP="00EA59DA">
            <w:pPr>
              <w:ind w:left="-54"/>
              <w:jc w:val="both"/>
              <w:rPr>
                <w:rFonts w:ascii="Times New Roman" w:eastAsia="Times New Roman" w:hAnsi="Times New Roman" w:cs="Times New Roman"/>
                <w:bCs/>
                <w:color w:val="000000"/>
              </w:rPr>
            </w:pPr>
          </w:p>
          <w:p w14:paraId="3D3118EC" w14:textId="77777777" w:rsidR="009533E8" w:rsidRDefault="009533E8" w:rsidP="00EA59DA">
            <w:pPr>
              <w:ind w:left="-54"/>
              <w:jc w:val="both"/>
              <w:rPr>
                <w:rFonts w:ascii="Times New Roman" w:eastAsia="Times New Roman" w:hAnsi="Times New Roman" w:cs="Times New Roman"/>
                <w:bCs/>
                <w:color w:val="000000"/>
              </w:rPr>
            </w:pPr>
          </w:p>
          <w:p w14:paraId="15932750" w14:textId="77777777" w:rsidR="009533E8" w:rsidRDefault="009533E8" w:rsidP="00EA59DA">
            <w:pPr>
              <w:ind w:left="-54"/>
              <w:jc w:val="both"/>
              <w:rPr>
                <w:rFonts w:ascii="Times New Roman" w:eastAsia="Times New Roman" w:hAnsi="Times New Roman" w:cs="Times New Roman"/>
                <w:bCs/>
                <w:color w:val="000000"/>
              </w:rPr>
            </w:pPr>
          </w:p>
          <w:p w14:paraId="2B37EAD3" w14:textId="77777777" w:rsidR="008E32D0" w:rsidRDefault="009533E8" w:rsidP="00EA59DA">
            <w:pPr>
              <w:ind w:left="-54"/>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w:t>
            </w:r>
            <w:r w:rsidRPr="009533E8">
              <w:rPr>
                <w:rFonts w:ascii="Times New Roman" w:eastAsia="Times New Roman" w:hAnsi="Times New Roman" w:cs="Times New Roman"/>
                <w:bCs/>
                <w:color w:val="000000"/>
              </w:rPr>
              <w:t>Is the land component under activity 1.1.6 in the DINU Financing part of this Call?</w:t>
            </w:r>
          </w:p>
          <w:p w14:paraId="26076D27" w14:textId="77777777" w:rsidR="00030292" w:rsidRDefault="00030292" w:rsidP="00EA59DA">
            <w:pPr>
              <w:ind w:left="-54"/>
              <w:jc w:val="both"/>
              <w:rPr>
                <w:rFonts w:ascii="Times New Roman" w:eastAsia="Times New Roman" w:hAnsi="Times New Roman" w:cs="Times New Roman"/>
                <w:bCs/>
                <w:color w:val="000000"/>
              </w:rPr>
            </w:pPr>
          </w:p>
          <w:p w14:paraId="45D9B3BB" w14:textId="6ECCD1BB" w:rsidR="00030292" w:rsidRDefault="00030292" w:rsidP="00EA59DA">
            <w:pPr>
              <w:ind w:left="-54"/>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w:t>
            </w:r>
            <w:r w:rsidRPr="008B51DC">
              <w:rPr>
                <w:rFonts w:ascii="Times New Roman" w:eastAsia="Times New Roman" w:hAnsi="Times New Roman" w:cs="Times New Roman"/>
                <w:bCs/>
                <w:color w:val="000000"/>
              </w:rPr>
              <w:t>Does one literally have to adhere to the objective (SO1), results (1.1-1.3) and related activities as shared in the Guidelines for Applicants under section 1.2, or can one reformulate them in accordance with the Guidelines? May one add sub-activities to the activities?</w:t>
            </w:r>
          </w:p>
        </w:tc>
        <w:tc>
          <w:tcPr>
            <w:tcW w:w="6776" w:type="dxa"/>
            <w:shd w:val="clear" w:color="auto" w:fill="FFFFFF" w:themeFill="background1"/>
          </w:tcPr>
          <w:p w14:paraId="4BD0ED5E" w14:textId="77777777" w:rsidR="008E32D0" w:rsidRDefault="008E32D0" w:rsidP="00EA59DA">
            <w:pPr>
              <w:ind w:left="-54"/>
              <w:jc w:val="both"/>
              <w:rPr>
                <w:rFonts w:ascii="Times New Roman" w:eastAsia="Times New Roman" w:hAnsi="Times New Roman" w:cs="Times New Roman"/>
                <w:bCs/>
                <w:color w:val="000000"/>
              </w:rPr>
            </w:pPr>
            <w:r w:rsidRPr="00FB4204">
              <w:rPr>
                <w:rFonts w:ascii="Times New Roman" w:eastAsia="Times New Roman" w:hAnsi="Times New Roman" w:cs="Times New Roman"/>
                <w:bCs/>
                <w:color w:val="000000"/>
              </w:rPr>
              <w:t xml:space="preserve">As specified under section 1.2 of the Guidelines for Applicants, page 6, Lot 2 covers part of Result 3.3 of the DINU programme, activities 3.3.1 and 3.3.3. </w:t>
            </w:r>
          </w:p>
          <w:p w14:paraId="292F0039" w14:textId="77777777" w:rsidR="008E32D0" w:rsidRDefault="008E32D0" w:rsidP="00EA59DA">
            <w:pPr>
              <w:ind w:left="-54"/>
              <w:jc w:val="both"/>
              <w:rPr>
                <w:rFonts w:ascii="Times New Roman" w:eastAsia="Times New Roman" w:hAnsi="Times New Roman" w:cs="Times New Roman"/>
                <w:bCs/>
                <w:color w:val="000000"/>
              </w:rPr>
            </w:pPr>
          </w:p>
          <w:p w14:paraId="51714E72" w14:textId="77777777" w:rsidR="008E32D0" w:rsidRDefault="008E32D0" w:rsidP="00EA59DA">
            <w:pPr>
              <w:ind w:left="-54"/>
              <w:jc w:val="both"/>
              <w:rPr>
                <w:rFonts w:ascii="Times New Roman" w:eastAsia="Times New Roman" w:hAnsi="Times New Roman" w:cs="Times New Roman"/>
                <w:bCs/>
                <w:color w:val="000000"/>
              </w:rPr>
            </w:pPr>
            <w:r w:rsidRPr="00FB4204">
              <w:rPr>
                <w:rFonts w:ascii="Times New Roman" w:eastAsia="Times New Roman" w:hAnsi="Times New Roman" w:cs="Times New Roman"/>
                <w:bCs/>
                <w:color w:val="000000"/>
              </w:rPr>
              <w:t xml:space="preserve">Refer to priority issues, page 6, and specific considerations for Lot 2, page </w:t>
            </w:r>
            <w:r>
              <w:rPr>
                <w:rFonts w:ascii="Times New Roman" w:eastAsia="Times New Roman" w:hAnsi="Times New Roman" w:cs="Times New Roman"/>
                <w:bCs/>
                <w:color w:val="000000"/>
              </w:rPr>
              <w:t>9 regarding the</w:t>
            </w:r>
            <w:r w:rsidRPr="00FB4204">
              <w:rPr>
                <w:rFonts w:ascii="Times New Roman" w:eastAsia="Times New Roman" w:hAnsi="Times New Roman" w:cs="Times New Roman"/>
                <w:bCs/>
                <w:color w:val="000000"/>
              </w:rPr>
              <w:t xml:space="preserve"> complementarities with the other DINU components and/or other programmes in the area of good governance and accountability.  </w:t>
            </w:r>
          </w:p>
          <w:p w14:paraId="1EA0B146" w14:textId="77777777" w:rsidR="009533E8" w:rsidRDefault="009533E8" w:rsidP="00EA59DA">
            <w:pPr>
              <w:ind w:left="-54"/>
              <w:jc w:val="both"/>
              <w:rPr>
                <w:rFonts w:ascii="Times New Roman" w:eastAsia="Times New Roman" w:hAnsi="Times New Roman" w:cs="Times New Roman"/>
                <w:bCs/>
                <w:color w:val="000000"/>
              </w:rPr>
            </w:pPr>
          </w:p>
          <w:p w14:paraId="13B636A8" w14:textId="261F1C22" w:rsidR="009533E8" w:rsidRDefault="009533E8" w:rsidP="00EA59DA">
            <w:pPr>
              <w:ind w:left="-54"/>
              <w:jc w:val="both"/>
              <w:rPr>
                <w:rFonts w:ascii="Times New Roman" w:eastAsia="Times New Roman" w:hAnsi="Times New Roman" w:cs="Times New Roman"/>
                <w:bCs/>
                <w:color w:val="000000"/>
              </w:rPr>
            </w:pPr>
            <w:r w:rsidRPr="00603958">
              <w:rPr>
                <w:rFonts w:ascii="Times New Roman" w:eastAsia="Times New Roman" w:hAnsi="Times New Roman" w:cs="Times New Roman"/>
                <w:bCs/>
                <w:color w:val="000000"/>
              </w:rPr>
              <w:t xml:space="preserve">As specified under section 1.2 of the Guidelines for Applicants, proposed actions under </w:t>
            </w:r>
            <w:r>
              <w:rPr>
                <w:rFonts w:ascii="Times New Roman" w:eastAsia="Times New Roman" w:hAnsi="Times New Roman" w:cs="Times New Roman"/>
                <w:bCs/>
                <w:color w:val="000000"/>
              </w:rPr>
              <w:t>Lot 1</w:t>
            </w:r>
            <w:r w:rsidRPr="00603958">
              <w:rPr>
                <w:rFonts w:ascii="Times New Roman" w:eastAsia="Times New Roman" w:hAnsi="Times New Roman" w:cs="Times New Roman"/>
                <w:bCs/>
                <w:color w:val="000000"/>
              </w:rPr>
              <w:t xml:space="preserve"> must cover all results and related activities </w:t>
            </w:r>
            <w:r>
              <w:rPr>
                <w:rFonts w:ascii="Times New Roman" w:eastAsia="Times New Roman" w:hAnsi="Times New Roman" w:cs="Times New Roman"/>
                <w:bCs/>
                <w:color w:val="000000"/>
              </w:rPr>
              <w:t>(7).</w:t>
            </w:r>
          </w:p>
          <w:p w14:paraId="5AB0FC8A" w14:textId="77777777" w:rsidR="00030292" w:rsidRDefault="00030292" w:rsidP="00EA59DA">
            <w:pPr>
              <w:ind w:left="-54"/>
              <w:jc w:val="both"/>
              <w:rPr>
                <w:rFonts w:ascii="Times New Roman" w:eastAsia="Times New Roman" w:hAnsi="Times New Roman" w:cs="Times New Roman"/>
                <w:bCs/>
                <w:color w:val="000000"/>
              </w:rPr>
            </w:pPr>
          </w:p>
          <w:p w14:paraId="0B2852B7" w14:textId="022AEBDA" w:rsidR="009533E8" w:rsidRPr="00094CDB" w:rsidRDefault="00030292" w:rsidP="00EA59DA">
            <w:pPr>
              <w:ind w:left="-54"/>
              <w:jc w:val="both"/>
              <w:rPr>
                <w:rFonts w:ascii="Times New Roman" w:eastAsia="Times New Roman" w:hAnsi="Times New Roman" w:cs="Times New Roman"/>
                <w:bCs/>
                <w:color w:val="000000"/>
              </w:rPr>
            </w:pPr>
            <w:r w:rsidRPr="00603958">
              <w:rPr>
                <w:rFonts w:ascii="Times New Roman" w:eastAsia="Times New Roman" w:hAnsi="Times New Roman" w:cs="Times New Roman"/>
                <w:bCs/>
                <w:color w:val="000000"/>
              </w:rPr>
              <w:t>Refer to the footnote page 5 of the Guidelines for Applicants.</w:t>
            </w:r>
            <w:r>
              <w:rPr>
                <w:rFonts w:ascii="Times New Roman" w:eastAsia="Times New Roman" w:hAnsi="Times New Roman" w:cs="Times New Roman"/>
                <w:bCs/>
                <w:color w:val="000000"/>
              </w:rPr>
              <w:t xml:space="preserve"> More activities may be included if deemed relevant to achieve the results. Also activities (not OS1 and results) can be reorganised.</w:t>
            </w:r>
          </w:p>
        </w:tc>
      </w:tr>
      <w:tr w:rsidR="008E32D0" w:rsidRPr="00914BD3" w14:paraId="1761FC5C" w14:textId="77777777" w:rsidTr="00915BC1">
        <w:tc>
          <w:tcPr>
            <w:tcW w:w="851" w:type="dxa"/>
            <w:shd w:val="clear" w:color="auto" w:fill="FFFFFF" w:themeFill="background1"/>
          </w:tcPr>
          <w:p w14:paraId="4CE2CCDD" w14:textId="77777777" w:rsidR="008E32D0" w:rsidRPr="00914BD3" w:rsidRDefault="008E32D0" w:rsidP="002D32F6">
            <w:pPr>
              <w:pStyle w:val="ListParagraph"/>
              <w:numPr>
                <w:ilvl w:val="0"/>
                <w:numId w:val="21"/>
              </w:numPr>
              <w:jc w:val="center"/>
              <w:rPr>
                <w:rFonts w:ascii="Times New Roman" w:eastAsia="Times New Roman" w:hAnsi="Times New Roman" w:cs="Times New Roman"/>
                <w:bCs/>
                <w:color w:val="000000"/>
              </w:rPr>
            </w:pPr>
          </w:p>
        </w:tc>
        <w:tc>
          <w:tcPr>
            <w:tcW w:w="6783" w:type="dxa"/>
            <w:shd w:val="clear" w:color="auto" w:fill="FFFFFF" w:themeFill="background1"/>
          </w:tcPr>
          <w:p w14:paraId="33DA2B21" w14:textId="77777777" w:rsidR="008E32D0" w:rsidRDefault="008E32D0" w:rsidP="00EA59DA">
            <w:pPr>
              <w:ind w:left="-54"/>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w:t>
            </w:r>
            <w:r w:rsidRPr="001B5D0F">
              <w:rPr>
                <w:rFonts w:ascii="Times New Roman" w:eastAsia="Times New Roman" w:hAnsi="Times New Roman" w:cs="Times New Roman"/>
                <w:bCs/>
                <w:color w:val="000000"/>
              </w:rPr>
              <w:t>Are applicants limited to focus on the value chains in the scoping study when preparing proposals?</w:t>
            </w:r>
            <w:r w:rsidRPr="003C5E76">
              <w:rPr>
                <w:rFonts w:ascii="Times New Roman" w:eastAsia="Times New Roman" w:hAnsi="Times New Roman" w:cs="Times New Roman"/>
                <w:bCs/>
                <w:color w:val="000000"/>
              </w:rPr>
              <w:t xml:space="preserve"> </w:t>
            </w:r>
          </w:p>
          <w:p w14:paraId="53B55998" w14:textId="77777777" w:rsidR="008E32D0" w:rsidRDefault="008E32D0" w:rsidP="00EA59DA">
            <w:pPr>
              <w:ind w:left="-54"/>
              <w:jc w:val="both"/>
              <w:rPr>
                <w:rFonts w:ascii="Times New Roman" w:eastAsia="Times New Roman" w:hAnsi="Times New Roman" w:cs="Times New Roman"/>
                <w:bCs/>
                <w:color w:val="000000"/>
              </w:rPr>
            </w:pPr>
          </w:p>
          <w:p w14:paraId="6F3AF66E" w14:textId="77777777" w:rsidR="008E32D0" w:rsidRDefault="008E32D0" w:rsidP="00EA59DA">
            <w:pPr>
              <w:ind w:left="-54"/>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w:t>
            </w:r>
            <w:r w:rsidRPr="003C5E76">
              <w:rPr>
                <w:rFonts w:ascii="Times New Roman" w:eastAsia="Times New Roman" w:hAnsi="Times New Roman" w:cs="Times New Roman"/>
                <w:bCs/>
                <w:color w:val="000000"/>
              </w:rPr>
              <w:t>Can an applicant limit the number of value chains they focus on even when some value chains cut across multiple regions and clusters?</w:t>
            </w:r>
            <w:r w:rsidRPr="001C5FDE">
              <w:rPr>
                <w:rFonts w:ascii="Times New Roman" w:eastAsia="Times New Roman" w:hAnsi="Times New Roman" w:cs="Times New Roman"/>
                <w:bCs/>
                <w:color w:val="000000"/>
              </w:rPr>
              <w:t xml:space="preserve"> </w:t>
            </w:r>
          </w:p>
          <w:p w14:paraId="440CCE79" w14:textId="77777777" w:rsidR="008E32D0" w:rsidRDefault="008E32D0" w:rsidP="00EA59DA">
            <w:pPr>
              <w:ind w:left="-54"/>
              <w:jc w:val="both"/>
              <w:rPr>
                <w:rFonts w:ascii="Times New Roman" w:eastAsia="Times New Roman" w:hAnsi="Times New Roman" w:cs="Times New Roman"/>
                <w:bCs/>
                <w:color w:val="000000"/>
              </w:rPr>
            </w:pPr>
          </w:p>
          <w:p w14:paraId="3A59E32E" w14:textId="77777777" w:rsidR="008E32D0" w:rsidRDefault="008E32D0" w:rsidP="00EA59DA">
            <w:pPr>
              <w:ind w:left="-54"/>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w:t>
            </w:r>
            <w:r w:rsidRPr="001C5FDE">
              <w:rPr>
                <w:rFonts w:ascii="Times New Roman" w:eastAsia="Times New Roman" w:hAnsi="Times New Roman" w:cs="Times New Roman"/>
                <w:bCs/>
                <w:color w:val="000000"/>
              </w:rPr>
              <w:t>Can other viable agro-commodities, which are not in the pre-identified value chains, be added to the DINU profile enterprises, and if so how many are acceptable per sub county?</w:t>
            </w:r>
            <w:r w:rsidRPr="00355097">
              <w:rPr>
                <w:rFonts w:ascii="Times New Roman" w:eastAsia="Times New Roman" w:hAnsi="Times New Roman" w:cs="Times New Roman"/>
                <w:bCs/>
                <w:color w:val="000000"/>
              </w:rPr>
              <w:t xml:space="preserve"> </w:t>
            </w:r>
          </w:p>
          <w:p w14:paraId="256D32C8" w14:textId="77777777" w:rsidR="008E32D0" w:rsidRDefault="008E32D0" w:rsidP="00EA59DA">
            <w:pPr>
              <w:ind w:left="-54"/>
              <w:jc w:val="both"/>
              <w:rPr>
                <w:rFonts w:ascii="Times New Roman" w:eastAsia="Times New Roman" w:hAnsi="Times New Roman" w:cs="Times New Roman"/>
                <w:bCs/>
                <w:color w:val="000000"/>
              </w:rPr>
            </w:pPr>
          </w:p>
          <w:p w14:paraId="6941D8AD" w14:textId="77777777" w:rsidR="008E32D0" w:rsidRDefault="008E32D0" w:rsidP="00EA59DA">
            <w:pPr>
              <w:ind w:left="-54"/>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w:t>
            </w:r>
            <w:r w:rsidRPr="00355097">
              <w:rPr>
                <w:rFonts w:ascii="Times New Roman" w:eastAsia="Times New Roman" w:hAnsi="Times New Roman" w:cs="Times New Roman"/>
                <w:bCs/>
                <w:color w:val="000000"/>
              </w:rPr>
              <w:t>Do applicants have to address all or specific value chains in the Scoping Study?</w:t>
            </w:r>
            <w:r w:rsidRPr="001E6647">
              <w:rPr>
                <w:rFonts w:ascii="Times New Roman" w:eastAsia="Times New Roman" w:hAnsi="Times New Roman" w:cs="Times New Roman"/>
                <w:bCs/>
                <w:color w:val="000000"/>
              </w:rPr>
              <w:t xml:space="preserve"> </w:t>
            </w:r>
          </w:p>
          <w:p w14:paraId="1E2263A1" w14:textId="77777777" w:rsidR="008E32D0" w:rsidRDefault="008E32D0" w:rsidP="00EA59DA">
            <w:pPr>
              <w:ind w:left="-54"/>
              <w:jc w:val="both"/>
              <w:rPr>
                <w:rFonts w:ascii="Times New Roman" w:eastAsia="Times New Roman" w:hAnsi="Times New Roman" w:cs="Times New Roman"/>
                <w:bCs/>
                <w:color w:val="000000"/>
              </w:rPr>
            </w:pPr>
          </w:p>
          <w:p w14:paraId="2854D7DA" w14:textId="77777777" w:rsidR="008E32D0" w:rsidRDefault="008E32D0" w:rsidP="00EA59DA">
            <w:pPr>
              <w:ind w:left="-54"/>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w:t>
            </w:r>
            <w:r w:rsidRPr="001E6647">
              <w:rPr>
                <w:rFonts w:ascii="Times New Roman" w:eastAsia="Times New Roman" w:hAnsi="Times New Roman" w:cs="Times New Roman"/>
                <w:bCs/>
                <w:color w:val="000000"/>
              </w:rPr>
              <w:t>How many are acceptable per sub region? / are applicants limited to only the value chains h</w:t>
            </w:r>
            <w:r>
              <w:rPr>
                <w:rFonts w:ascii="Times New Roman" w:eastAsia="Times New Roman" w:hAnsi="Times New Roman" w:cs="Times New Roman"/>
                <w:bCs/>
                <w:color w:val="000000"/>
              </w:rPr>
              <w:t xml:space="preserve">ighlighted in the scoping study? </w:t>
            </w:r>
          </w:p>
          <w:p w14:paraId="72D86900" w14:textId="77777777" w:rsidR="008E32D0" w:rsidRDefault="008E32D0" w:rsidP="00EA59DA">
            <w:pPr>
              <w:ind w:left="-54"/>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lastRenderedPageBreak/>
              <w:t xml:space="preserve">- </w:t>
            </w:r>
            <w:r w:rsidRPr="0015119B">
              <w:rPr>
                <w:rFonts w:ascii="Times New Roman" w:eastAsia="Times New Roman" w:hAnsi="Times New Roman" w:cs="Times New Roman"/>
                <w:bCs/>
                <w:color w:val="000000"/>
              </w:rPr>
              <w:t>Would you be able to provide clarification on eligible value chains/crops for the action – are the crops recommended in the Scoping Study the only eligible choices, or can one propose other crops?</w:t>
            </w:r>
            <w:r w:rsidRPr="00553243">
              <w:rPr>
                <w:rFonts w:ascii="Times New Roman" w:eastAsia="Times New Roman" w:hAnsi="Times New Roman" w:cs="Times New Roman"/>
                <w:bCs/>
                <w:color w:val="000000"/>
              </w:rPr>
              <w:t xml:space="preserve"> </w:t>
            </w:r>
          </w:p>
          <w:p w14:paraId="73410D4C" w14:textId="77777777" w:rsidR="008E32D0" w:rsidRDefault="008E32D0" w:rsidP="00EA59DA">
            <w:pPr>
              <w:ind w:left="-54"/>
              <w:jc w:val="both"/>
              <w:rPr>
                <w:rFonts w:ascii="Times New Roman" w:eastAsia="Times New Roman" w:hAnsi="Times New Roman" w:cs="Times New Roman"/>
                <w:bCs/>
                <w:color w:val="000000"/>
              </w:rPr>
            </w:pPr>
          </w:p>
          <w:p w14:paraId="21A816D2" w14:textId="77777777" w:rsidR="008E32D0" w:rsidRDefault="008E32D0" w:rsidP="00EA59DA">
            <w:pPr>
              <w:ind w:left="-54"/>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w:t>
            </w:r>
            <w:r w:rsidRPr="00553243">
              <w:rPr>
                <w:rFonts w:ascii="Times New Roman" w:eastAsia="Times New Roman" w:hAnsi="Times New Roman" w:cs="Times New Roman"/>
                <w:bCs/>
                <w:color w:val="000000"/>
              </w:rPr>
              <w:t>In reference to the value chain approach, the call indicates that “applicants should select a limited number of value chains relevant for the livelihoods zones in which the proposed clusters are located…”. Does the contracting authority have a preference for the number of “limited” value chains that the applicant should target (i.e 1-3, 3-5, etc.)?  </w:t>
            </w:r>
          </w:p>
          <w:p w14:paraId="488033A8" w14:textId="77777777" w:rsidR="008E32D0" w:rsidRDefault="008E32D0" w:rsidP="00EA59DA">
            <w:pPr>
              <w:ind w:left="-54"/>
              <w:jc w:val="both"/>
              <w:rPr>
                <w:rFonts w:ascii="Times New Roman" w:eastAsia="Times New Roman" w:hAnsi="Times New Roman" w:cs="Times New Roman"/>
                <w:bCs/>
                <w:color w:val="000000"/>
              </w:rPr>
            </w:pPr>
          </w:p>
          <w:p w14:paraId="794A84CD" w14:textId="77777777" w:rsidR="008E32D0" w:rsidRDefault="008E32D0" w:rsidP="00EA59DA">
            <w:pPr>
              <w:ind w:left="-54"/>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w:t>
            </w:r>
            <w:r w:rsidRPr="008E5CD0">
              <w:rPr>
                <w:rFonts w:ascii="Times New Roman" w:eastAsia="Times New Roman" w:hAnsi="Times New Roman" w:cs="Times New Roman"/>
                <w:bCs/>
                <w:color w:val="000000"/>
              </w:rPr>
              <w:t>Of the proposed primary value chains, can the applicant also propose secondary value chains for crop integration?</w:t>
            </w:r>
          </w:p>
          <w:p w14:paraId="3AD5A555" w14:textId="77777777" w:rsidR="008E32D0" w:rsidRDefault="008E32D0" w:rsidP="00EA59DA">
            <w:pPr>
              <w:ind w:left="-54"/>
              <w:jc w:val="both"/>
              <w:rPr>
                <w:rFonts w:ascii="Times New Roman" w:eastAsia="Times New Roman" w:hAnsi="Times New Roman" w:cs="Times New Roman"/>
                <w:bCs/>
                <w:color w:val="000000"/>
              </w:rPr>
            </w:pPr>
          </w:p>
          <w:p w14:paraId="31348745" w14:textId="77777777" w:rsidR="008E32D0" w:rsidRDefault="008E32D0" w:rsidP="00EA59DA">
            <w:pPr>
              <w:ind w:left="-54"/>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w:t>
            </w:r>
            <w:r w:rsidRPr="00C341BB">
              <w:rPr>
                <w:rFonts w:ascii="Times New Roman" w:eastAsia="Times New Roman" w:hAnsi="Times New Roman" w:cs="Times New Roman"/>
                <w:bCs/>
                <w:color w:val="000000"/>
              </w:rPr>
              <w:t>One of the market opportunities for cassava for farmers in the Northern region is the ethanol market which has different uses including liquor.  The liquor market is quite big.  Therefore, is ethanol for liquor acceptable?</w:t>
            </w:r>
            <w:r w:rsidRPr="008F7AC7">
              <w:rPr>
                <w:rFonts w:ascii="Times New Roman" w:eastAsia="Times New Roman" w:hAnsi="Times New Roman" w:cs="Times New Roman"/>
                <w:bCs/>
                <w:color w:val="000000"/>
              </w:rPr>
              <w:t xml:space="preserve"> Is the market for cassava flour for beer making acceptable?</w:t>
            </w:r>
          </w:p>
        </w:tc>
        <w:tc>
          <w:tcPr>
            <w:tcW w:w="6776" w:type="dxa"/>
            <w:shd w:val="clear" w:color="auto" w:fill="FFFFFF" w:themeFill="background1"/>
          </w:tcPr>
          <w:p w14:paraId="4736304B" w14:textId="77777777" w:rsidR="008E32D0" w:rsidRDefault="008E32D0" w:rsidP="00EA59DA">
            <w:pPr>
              <w:ind w:left="-54"/>
              <w:jc w:val="both"/>
              <w:rPr>
                <w:rFonts w:ascii="Times New Roman" w:eastAsia="Times New Roman" w:hAnsi="Times New Roman" w:cs="Times New Roman"/>
                <w:bCs/>
                <w:color w:val="000000"/>
              </w:rPr>
            </w:pPr>
            <w:r w:rsidRPr="009036BB">
              <w:rPr>
                <w:rFonts w:ascii="Times New Roman" w:eastAsia="Times New Roman" w:hAnsi="Times New Roman" w:cs="Times New Roman"/>
                <w:bCs/>
                <w:color w:val="000000"/>
              </w:rPr>
              <w:lastRenderedPageBreak/>
              <w:t xml:space="preserve">As specified in section 1.2 </w:t>
            </w:r>
            <w:r>
              <w:rPr>
                <w:rFonts w:ascii="Times New Roman" w:eastAsia="Times New Roman" w:hAnsi="Times New Roman" w:cs="Times New Roman"/>
                <w:bCs/>
                <w:color w:val="000000"/>
              </w:rPr>
              <w:t>of</w:t>
            </w:r>
            <w:r w:rsidRPr="009036BB">
              <w:rPr>
                <w:rFonts w:ascii="Times New Roman" w:eastAsia="Times New Roman" w:hAnsi="Times New Roman" w:cs="Times New Roman"/>
                <w:bCs/>
                <w:color w:val="000000"/>
              </w:rPr>
              <w:t xml:space="preserve"> the Guidelines for Applicants, the value chain approach is a specific consideration for Lot 1. </w:t>
            </w:r>
          </w:p>
          <w:p w14:paraId="04E77901" w14:textId="77777777" w:rsidR="008E32D0" w:rsidRDefault="008E32D0" w:rsidP="00EA59DA">
            <w:pPr>
              <w:ind w:left="-54"/>
              <w:jc w:val="both"/>
              <w:rPr>
                <w:rFonts w:ascii="Times New Roman" w:eastAsia="Times New Roman" w:hAnsi="Times New Roman" w:cs="Times New Roman"/>
                <w:bCs/>
                <w:color w:val="000000"/>
              </w:rPr>
            </w:pPr>
          </w:p>
          <w:p w14:paraId="3F19C0FA" w14:textId="77777777" w:rsidR="008E32D0" w:rsidRDefault="008E32D0" w:rsidP="00EA59DA">
            <w:pPr>
              <w:ind w:left="-54"/>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There is no minimum or maximum number by the applicant to be supported specified in the Guidelines for Applicants. </w:t>
            </w:r>
          </w:p>
          <w:p w14:paraId="5A0D17B4" w14:textId="77777777" w:rsidR="008E32D0" w:rsidRDefault="008E32D0" w:rsidP="00EA59DA">
            <w:pPr>
              <w:ind w:left="-54"/>
              <w:jc w:val="both"/>
              <w:rPr>
                <w:rFonts w:ascii="Times New Roman" w:eastAsia="Times New Roman" w:hAnsi="Times New Roman" w:cs="Times New Roman"/>
                <w:bCs/>
                <w:color w:val="000000"/>
              </w:rPr>
            </w:pPr>
          </w:p>
          <w:p w14:paraId="435328E9" w14:textId="77777777" w:rsidR="008E32D0" w:rsidRDefault="008E32D0" w:rsidP="00EA59DA">
            <w:pPr>
              <w:ind w:left="-54"/>
              <w:jc w:val="both"/>
              <w:rPr>
                <w:rFonts w:ascii="Times New Roman" w:eastAsia="Times New Roman" w:hAnsi="Times New Roman" w:cs="Times New Roman"/>
                <w:bCs/>
                <w:color w:val="000000"/>
              </w:rPr>
            </w:pPr>
            <w:r w:rsidRPr="009036BB">
              <w:rPr>
                <w:rFonts w:ascii="Times New Roman" w:eastAsia="Times New Roman" w:hAnsi="Times New Roman" w:cs="Times New Roman"/>
                <w:bCs/>
                <w:color w:val="000000"/>
              </w:rPr>
              <w:t>Applicants should propose an updated assessment of the priority commodities in their applications as specified on page 8 in the Guidelines for Applicants under the value chain approach.</w:t>
            </w:r>
            <w:r>
              <w:rPr>
                <w:rFonts w:ascii="Times New Roman" w:eastAsia="Times New Roman" w:hAnsi="Times New Roman" w:cs="Times New Roman"/>
                <w:bCs/>
                <w:color w:val="000000"/>
              </w:rPr>
              <w:t xml:space="preserve"> Based on this assessment, applicants could propose to support other value chains/commodities as the ones identified in the Scoping Study. </w:t>
            </w:r>
          </w:p>
          <w:p w14:paraId="68554849" w14:textId="77777777" w:rsidR="008E32D0" w:rsidRDefault="008E32D0" w:rsidP="00EA59DA">
            <w:pPr>
              <w:ind w:left="-54"/>
              <w:jc w:val="both"/>
              <w:rPr>
                <w:rFonts w:ascii="Times New Roman" w:eastAsia="Times New Roman" w:hAnsi="Times New Roman" w:cs="Times New Roman"/>
                <w:bCs/>
                <w:color w:val="000000"/>
              </w:rPr>
            </w:pPr>
          </w:p>
          <w:p w14:paraId="2AC309F6" w14:textId="77777777" w:rsidR="008E32D0" w:rsidRPr="00603958" w:rsidRDefault="008E32D0" w:rsidP="00EA59DA">
            <w:pPr>
              <w:ind w:left="-54"/>
              <w:jc w:val="both"/>
              <w:rPr>
                <w:rFonts w:ascii="Times New Roman" w:eastAsia="Times New Roman" w:hAnsi="Times New Roman" w:cs="Times New Roman"/>
                <w:bCs/>
                <w:color w:val="000000"/>
              </w:rPr>
            </w:pPr>
          </w:p>
        </w:tc>
      </w:tr>
      <w:tr w:rsidR="008E32D0" w:rsidRPr="00914BD3" w14:paraId="59748B81" w14:textId="77777777" w:rsidTr="00915BC1">
        <w:tc>
          <w:tcPr>
            <w:tcW w:w="851" w:type="dxa"/>
            <w:shd w:val="clear" w:color="auto" w:fill="FFFFFF" w:themeFill="background1"/>
          </w:tcPr>
          <w:p w14:paraId="251B0EAB" w14:textId="77777777" w:rsidR="008E32D0" w:rsidRPr="00914BD3" w:rsidRDefault="008E32D0" w:rsidP="002D32F6">
            <w:pPr>
              <w:pStyle w:val="ListParagraph"/>
              <w:numPr>
                <w:ilvl w:val="0"/>
                <w:numId w:val="21"/>
              </w:numPr>
              <w:jc w:val="center"/>
              <w:rPr>
                <w:rFonts w:ascii="Times New Roman" w:eastAsia="Times New Roman" w:hAnsi="Times New Roman" w:cs="Times New Roman"/>
                <w:bCs/>
                <w:color w:val="000000"/>
              </w:rPr>
            </w:pPr>
          </w:p>
        </w:tc>
        <w:tc>
          <w:tcPr>
            <w:tcW w:w="6783" w:type="dxa"/>
            <w:shd w:val="clear" w:color="auto" w:fill="FFFFFF" w:themeFill="background1"/>
          </w:tcPr>
          <w:p w14:paraId="1A0E8745" w14:textId="77777777" w:rsidR="008E32D0" w:rsidRDefault="008E32D0" w:rsidP="00EA59DA">
            <w:pPr>
              <w:ind w:left="-54"/>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w:t>
            </w:r>
            <w:r w:rsidRPr="00834B70">
              <w:rPr>
                <w:rFonts w:ascii="Times New Roman" w:eastAsia="Times New Roman" w:hAnsi="Times New Roman" w:cs="Times New Roman"/>
                <w:bCs/>
                <w:color w:val="000000"/>
              </w:rPr>
              <w:t>Could you confirm if low input farming mentioned in the Guidelines for Applicants excludes the use of fertilisers, hybrid seeds and chemicals?</w:t>
            </w:r>
          </w:p>
          <w:p w14:paraId="36981C3D" w14:textId="77777777" w:rsidR="00741872" w:rsidRDefault="00741872" w:rsidP="00741872">
            <w:pPr>
              <w:jc w:val="both"/>
              <w:rPr>
                <w:rFonts w:ascii="Times New Roman" w:eastAsia="Times New Roman" w:hAnsi="Times New Roman" w:cs="Times New Roman"/>
                <w:bCs/>
                <w:color w:val="000000"/>
              </w:rPr>
            </w:pPr>
          </w:p>
          <w:p w14:paraId="7CFDAB91" w14:textId="5EEAD481" w:rsidR="00B16C27" w:rsidRDefault="00B16C27" w:rsidP="00EA59DA">
            <w:pPr>
              <w:ind w:left="-54"/>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w:t>
            </w:r>
            <w:r w:rsidRPr="00B16C27">
              <w:rPr>
                <w:rFonts w:ascii="Times New Roman" w:eastAsia="Times New Roman" w:hAnsi="Times New Roman" w:cs="Times New Roman"/>
                <w:bCs/>
                <w:color w:val="000000"/>
              </w:rPr>
              <w:t>Does the EU have international standards or criteria for assessing carbon impact or applicants can use the IFC standards?</w:t>
            </w:r>
          </w:p>
          <w:p w14:paraId="3A68310B" w14:textId="77777777" w:rsidR="008E32D0" w:rsidRDefault="008E32D0" w:rsidP="00EA59DA">
            <w:pPr>
              <w:ind w:left="-54"/>
              <w:jc w:val="both"/>
              <w:rPr>
                <w:rFonts w:ascii="Times New Roman" w:eastAsia="Times New Roman" w:hAnsi="Times New Roman" w:cs="Times New Roman"/>
                <w:bCs/>
                <w:color w:val="000000"/>
              </w:rPr>
            </w:pPr>
          </w:p>
          <w:p w14:paraId="4A2E37B4" w14:textId="77777777" w:rsidR="008E32D0" w:rsidRDefault="008E32D0" w:rsidP="00EA59DA">
            <w:pPr>
              <w:ind w:left="-54"/>
              <w:jc w:val="both"/>
              <w:rPr>
                <w:rFonts w:ascii="Times New Roman" w:eastAsia="Times New Roman" w:hAnsi="Times New Roman" w:cs="Times New Roman"/>
                <w:bCs/>
                <w:color w:val="000000"/>
              </w:rPr>
            </w:pPr>
          </w:p>
          <w:p w14:paraId="6A1BE3E2" w14:textId="77777777" w:rsidR="008E32D0" w:rsidRDefault="008E32D0" w:rsidP="00EA59DA">
            <w:pPr>
              <w:ind w:left="-54"/>
              <w:jc w:val="both"/>
              <w:rPr>
                <w:rFonts w:ascii="Times New Roman" w:eastAsia="Times New Roman" w:hAnsi="Times New Roman" w:cs="Times New Roman"/>
                <w:bCs/>
                <w:color w:val="000000"/>
              </w:rPr>
            </w:pPr>
          </w:p>
        </w:tc>
        <w:tc>
          <w:tcPr>
            <w:tcW w:w="6776" w:type="dxa"/>
            <w:shd w:val="clear" w:color="auto" w:fill="FFFFFF" w:themeFill="background1"/>
          </w:tcPr>
          <w:p w14:paraId="4B0239BB" w14:textId="7B4119E8" w:rsidR="008E32D0" w:rsidRDefault="00741872" w:rsidP="00EA59DA">
            <w:pPr>
              <w:ind w:left="-54"/>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The Call does not provide guidance on these topics. </w:t>
            </w:r>
            <w:r w:rsidR="008E32D0">
              <w:rPr>
                <w:rFonts w:ascii="Times New Roman" w:eastAsia="Times New Roman" w:hAnsi="Times New Roman" w:cs="Times New Roman"/>
                <w:bCs/>
                <w:color w:val="000000"/>
              </w:rPr>
              <w:t>Proposed actions</w:t>
            </w:r>
            <w:r w:rsidR="008E32D0" w:rsidRPr="00CB32F7">
              <w:rPr>
                <w:rFonts w:ascii="Times New Roman" w:eastAsia="Times New Roman" w:hAnsi="Times New Roman" w:cs="Times New Roman"/>
                <w:bCs/>
                <w:color w:val="000000"/>
              </w:rPr>
              <w:t xml:space="preserve"> should be based on an assessment of the situation made by the applicants.  </w:t>
            </w:r>
          </w:p>
          <w:p w14:paraId="2F6D929A" w14:textId="77777777" w:rsidR="008E32D0" w:rsidRDefault="008E32D0" w:rsidP="00EA59DA">
            <w:pPr>
              <w:ind w:left="-54"/>
              <w:jc w:val="both"/>
              <w:rPr>
                <w:rFonts w:ascii="Times New Roman" w:eastAsia="Times New Roman" w:hAnsi="Times New Roman" w:cs="Times New Roman"/>
                <w:bCs/>
                <w:color w:val="000000"/>
              </w:rPr>
            </w:pPr>
          </w:p>
          <w:p w14:paraId="2B5A6083" w14:textId="77777777" w:rsidR="0085506D" w:rsidRDefault="008E32D0" w:rsidP="00EA59DA">
            <w:pPr>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Applicants </w:t>
            </w:r>
            <w:r w:rsidRPr="00B5288C">
              <w:rPr>
                <w:rFonts w:ascii="Times New Roman" w:eastAsia="Times New Roman" w:hAnsi="Times New Roman" w:cs="Times New Roman"/>
                <w:bCs/>
                <w:color w:val="000000"/>
              </w:rPr>
              <w:t>should give special attention to the environment and have a positive impact on the environment when selecting commodit</w:t>
            </w:r>
            <w:r>
              <w:rPr>
                <w:rFonts w:ascii="Times New Roman" w:eastAsia="Times New Roman" w:hAnsi="Times New Roman" w:cs="Times New Roman"/>
                <w:bCs/>
                <w:color w:val="000000"/>
              </w:rPr>
              <w:t>ies and increasing productivity as specified under the</w:t>
            </w:r>
            <w:r w:rsidRPr="000B0C6A">
              <w:rPr>
                <w:rFonts w:ascii="Times New Roman" w:eastAsia="Times New Roman" w:hAnsi="Times New Roman" w:cs="Times New Roman"/>
                <w:bCs/>
                <w:color w:val="000000"/>
              </w:rPr>
              <w:t xml:space="preserve"> specific consideration</w:t>
            </w:r>
            <w:r>
              <w:rPr>
                <w:rFonts w:ascii="Times New Roman" w:eastAsia="Times New Roman" w:hAnsi="Times New Roman" w:cs="Times New Roman"/>
                <w:bCs/>
                <w:color w:val="000000"/>
              </w:rPr>
              <w:t xml:space="preserve">s for Lot 1 in section 1.2 of the Guidelines for Applicants, page 8. </w:t>
            </w:r>
          </w:p>
          <w:p w14:paraId="2B4379A9" w14:textId="77777777" w:rsidR="0085506D" w:rsidRDefault="0085506D" w:rsidP="00EA59DA">
            <w:pPr>
              <w:jc w:val="both"/>
              <w:rPr>
                <w:rFonts w:ascii="Times New Roman" w:eastAsia="Times New Roman" w:hAnsi="Times New Roman" w:cs="Times New Roman"/>
                <w:bCs/>
                <w:color w:val="000000"/>
              </w:rPr>
            </w:pPr>
          </w:p>
          <w:p w14:paraId="199DE55B" w14:textId="1944C123" w:rsidR="008E32D0" w:rsidRPr="009036BB" w:rsidRDefault="008E32D0" w:rsidP="00F50534">
            <w:pPr>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Refer to</w:t>
            </w:r>
            <w:r w:rsidRPr="00B5288C">
              <w:rPr>
                <w:rFonts w:ascii="Times New Roman" w:eastAsia="Times New Roman" w:hAnsi="Times New Roman" w:cs="Times New Roman"/>
                <w:bCs/>
                <w:color w:val="000000"/>
              </w:rPr>
              <w:t xml:space="preserve"> </w:t>
            </w:r>
            <w:r>
              <w:rPr>
                <w:rFonts w:ascii="Times New Roman" w:eastAsia="Times New Roman" w:hAnsi="Times New Roman" w:cs="Times New Roman"/>
                <w:bCs/>
                <w:color w:val="000000"/>
              </w:rPr>
              <w:t xml:space="preserve">the </w:t>
            </w:r>
            <w:r w:rsidR="0085506D">
              <w:rPr>
                <w:rFonts w:ascii="Times New Roman" w:eastAsia="Times New Roman" w:hAnsi="Times New Roman" w:cs="Times New Roman"/>
                <w:bCs/>
                <w:color w:val="000000"/>
              </w:rPr>
              <w:t xml:space="preserve">EU </w:t>
            </w:r>
            <w:r w:rsidR="00F50534">
              <w:rPr>
                <w:rFonts w:ascii="Times New Roman" w:eastAsia="Times New Roman" w:hAnsi="Times New Roman" w:cs="Times New Roman"/>
                <w:bCs/>
                <w:color w:val="000000"/>
              </w:rPr>
              <w:t>G</w:t>
            </w:r>
            <w:r w:rsidRPr="00B5288C">
              <w:rPr>
                <w:rFonts w:ascii="Times New Roman" w:eastAsia="Times New Roman" w:hAnsi="Times New Roman" w:cs="Times New Roman"/>
                <w:bCs/>
                <w:color w:val="000000"/>
              </w:rPr>
              <w:t>uid</w:t>
            </w:r>
            <w:r w:rsidR="00F50534">
              <w:rPr>
                <w:rFonts w:ascii="Times New Roman" w:eastAsia="Times New Roman" w:hAnsi="Times New Roman" w:cs="Times New Roman"/>
                <w:bCs/>
                <w:color w:val="000000"/>
              </w:rPr>
              <w:t xml:space="preserve">elines N°6 </w:t>
            </w:r>
            <w:r>
              <w:rPr>
                <w:rFonts w:ascii="Times New Roman" w:eastAsia="Times New Roman" w:hAnsi="Times New Roman" w:cs="Times New Roman"/>
                <w:bCs/>
                <w:color w:val="000000"/>
              </w:rPr>
              <w:t>on</w:t>
            </w:r>
            <w:r w:rsidR="00F50534">
              <w:rPr>
                <w:rFonts w:ascii="Times New Roman" w:eastAsia="Times New Roman" w:hAnsi="Times New Roman" w:cs="Times New Roman"/>
                <w:bCs/>
                <w:color w:val="000000"/>
              </w:rPr>
              <w:t xml:space="preserve"> integrating environment and climate change </w:t>
            </w:r>
            <w:r w:rsidR="00F50534" w:rsidRPr="00F50534">
              <w:rPr>
                <w:rFonts w:ascii="Times New Roman" w:eastAsia="Times New Roman" w:hAnsi="Times New Roman" w:cs="Times New Roman"/>
                <w:bCs/>
                <w:color w:val="000000"/>
              </w:rPr>
              <w:t>EU international</w:t>
            </w:r>
            <w:r w:rsidR="00F50534">
              <w:rPr>
                <w:rFonts w:ascii="Times New Roman" w:eastAsia="Times New Roman" w:hAnsi="Times New Roman" w:cs="Times New Roman"/>
                <w:bCs/>
                <w:color w:val="000000"/>
              </w:rPr>
              <w:t xml:space="preserve"> co</w:t>
            </w:r>
            <w:r w:rsidR="00F50534" w:rsidRPr="00F50534">
              <w:rPr>
                <w:rFonts w:ascii="Times New Roman" w:eastAsia="Times New Roman" w:hAnsi="Times New Roman" w:cs="Times New Roman"/>
                <w:bCs/>
                <w:color w:val="000000"/>
              </w:rPr>
              <w:t>operation and development</w:t>
            </w:r>
            <w:r>
              <w:rPr>
                <w:rFonts w:ascii="Times New Roman" w:eastAsia="Times New Roman" w:hAnsi="Times New Roman" w:cs="Times New Roman"/>
                <w:bCs/>
                <w:color w:val="000000"/>
              </w:rPr>
              <w:t xml:space="preserve"> </w:t>
            </w:r>
            <w:hyperlink r:id="rId12" w:history="1">
              <w:r w:rsidR="00F50534" w:rsidRPr="006A3F1C">
                <w:rPr>
                  <w:rStyle w:val="Hyperlink"/>
                  <w:rFonts w:ascii="Times New Roman" w:eastAsia="Times New Roman" w:hAnsi="Times New Roman" w:cs="Times New Roman"/>
                  <w:bCs/>
                </w:rPr>
                <w:t>https://ec.europa.eu/europeaid/sites/devco/files/guidelines-env-climate-change-sust-dev-20160201_en.pdf</w:t>
              </w:r>
            </w:hyperlink>
            <w:r w:rsidR="00132391">
              <w:rPr>
                <w:rFonts w:ascii="Times New Roman" w:eastAsia="Times New Roman" w:hAnsi="Times New Roman" w:cs="Times New Roman"/>
                <w:bCs/>
                <w:color w:val="000000"/>
              </w:rPr>
              <w:t>.</w:t>
            </w:r>
          </w:p>
        </w:tc>
      </w:tr>
      <w:tr w:rsidR="008E32D0" w:rsidRPr="00914BD3" w14:paraId="20F3B629" w14:textId="77777777" w:rsidTr="00915BC1">
        <w:tc>
          <w:tcPr>
            <w:tcW w:w="851" w:type="dxa"/>
            <w:shd w:val="clear" w:color="auto" w:fill="FFFFFF" w:themeFill="background1"/>
          </w:tcPr>
          <w:p w14:paraId="6718BD96" w14:textId="52EBEE49" w:rsidR="008E32D0" w:rsidRPr="00914BD3" w:rsidRDefault="008E32D0" w:rsidP="002D32F6">
            <w:pPr>
              <w:pStyle w:val="ListParagraph"/>
              <w:numPr>
                <w:ilvl w:val="0"/>
                <w:numId w:val="21"/>
              </w:numPr>
              <w:jc w:val="center"/>
              <w:rPr>
                <w:rFonts w:ascii="Times New Roman" w:eastAsia="Times New Roman" w:hAnsi="Times New Roman" w:cs="Times New Roman"/>
                <w:bCs/>
                <w:color w:val="000000"/>
              </w:rPr>
            </w:pPr>
          </w:p>
        </w:tc>
        <w:tc>
          <w:tcPr>
            <w:tcW w:w="6783" w:type="dxa"/>
            <w:shd w:val="clear" w:color="auto" w:fill="FFFFFF" w:themeFill="background1"/>
          </w:tcPr>
          <w:p w14:paraId="3B2E08A5" w14:textId="77777777" w:rsidR="008E32D0" w:rsidRDefault="008E32D0" w:rsidP="00EA59DA">
            <w:pPr>
              <w:ind w:left="-54"/>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w:t>
            </w:r>
            <w:r w:rsidRPr="00405056">
              <w:rPr>
                <w:rFonts w:ascii="Times New Roman" w:eastAsia="Times New Roman" w:hAnsi="Times New Roman" w:cs="Times New Roman"/>
                <w:bCs/>
                <w:color w:val="000000"/>
              </w:rPr>
              <w:t>Should applicants addressing the element of improved diversity of crop and animal products mentioned in the Guidelines for Applicants focus on either crops or animals or both?</w:t>
            </w:r>
          </w:p>
          <w:p w14:paraId="31D296C3" w14:textId="77777777" w:rsidR="008E32D0" w:rsidRDefault="008E32D0" w:rsidP="00EA59DA">
            <w:pPr>
              <w:ind w:left="-54"/>
              <w:jc w:val="both"/>
              <w:rPr>
                <w:rFonts w:ascii="Times New Roman" w:eastAsia="Times New Roman" w:hAnsi="Times New Roman" w:cs="Times New Roman"/>
                <w:bCs/>
                <w:color w:val="000000"/>
              </w:rPr>
            </w:pPr>
          </w:p>
        </w:tc>
        <w:tc>
          <w:tcPr>
            <w:tcW w:w="6776" w:type="dxa"/>
            <w:shd w:val="clear" w:color="auto" w:fill="FFFFFF" w:themeFill="background1"/>
          </w:tcPr>
          <w:p w14:paraId="76EE7FF8" w14:textId="3711FBFD" w:rsidR="008E32D0" w:rsidRDefault="008E32D0" w:rsidP="00EA59DA">
            <w:pPr>
              <w:ind w:left="-54"/>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P</w:t>
            </w:r>
            <w:r w:rsidRPr="00CB32F7">
              <w:rPr>
                <w:rFonts w:ascii="Times New Roman" w:eastAsia="Times New Roman" w:hAnsi="Times New Roman" w:cs="Times New Roman"/>
                <w:bCs/>
                <w:color w:val="000000"/>
              </w:rPr>
              <w:t>roposed acti</w:t>
            </w:r>
            <w:r>
              <w:rPr>
                <w:rFonts w:ascii="Times New Roman" w:eastAsia="Times New Roman" w:hAnsi="Times New Roman" w:cs="Times New Roman"/>
                <w:bCs/>
                <w:color w:val="000000"/>
              </w:rPr>
              <w:t>ons</w:t>
            </w:r>
            <w:r w:rsidRPr="00CB32F7">
              <w:rPr>
                <w:rFonts w:ascii="Times New Roman" w:eastAsia="Times New Roman" w:hAnsi="Times New Roman" w:cs="Times New Roman"/>
                <w:bCs/>
                <w:color w:val="000000"/>
              </w:rPr>
              <w:t xml:space="preserve"> should be based on an assessment of the situation made by the applicants.  </w:t>
            </w:r>
          </w:p>
          <w:p w14:paraId="36B031B9" w14:textId="77777777" w:rsidR="008E32D0" w:rsidRDefault="008E32D0" w:rsidP="00EA59DA">
            <w:pPr>
              <w:ind w:left="-54"/>
              <w:jc w:val="both"/>
              <w:rPr>
                <w:rFonts w:ascii="Times New Roman" w:eastAsia="Times New Roman" w:hAnsi="Times New Roman" w:cs="Times New Roman"/>
                <w:bCs/>
                <w:color w:val="000000"/>
              </w:rPr>
            </w:pPr>
          </w:p>
          <w:p w14:paraId="1A393D5C" w14:textId="5C2CFBD9" w:rsidR="008E32D0" w:rsidRPr="00B5288C" w:rsidRDefault="008E32D0" w:rsidP="00D47EB8">
            <w:pPr>
              <w:ind w:left="-54"/>
              <w:jc w:val="both"/>
              <w:rPr>
                <w:rFonts w:ascii="Times New Roman" w:eastAsia="Times New Roman" w:hAnsi="Times New Roman" w:cs="Times New Roman"/>
                <w:bCs/>
                <w:color w:val="000000"/>
              </w:rPr>
            </w:pPr>
            <w:r w:rsidRPr="00550BF1">
              <w:rPr>
                <w:rFonts w:ascii="Times New Roman" w:eastAsia="Times New Roman" w:hAnsi="Times New Roman" w:cs="Times New Roman"/>
                <w:bCs/>
                <w:color w:val="000000"/>
              </w:rPr>
              <w:lastRenderedPageBreak/>
              <w:t>As specified in activit</w:t>
            </w:r>
            <w:r>
              <w:rPr>
                <w:rFonts w:ascii="Times New Roman" w:eastAsia="Times New Roman" w:hAnsi="Times New Roman" w:cs="Times New Roman"/>
                <w:bCs/>
                <w:color w:val="000000"/>
              </w:rPr>
              <w:t>y</w:t>
            </w:r>
            <w:r w:rsidRPr="00550BF1">
              <w:rPr>
                <w:rFonts w:ascii="Times New Roman" w:eastAsia="Times New Roman" w:hAnsi="Times New Roman" w:cs="Times New Roman"/>
                <w:bCs/>
                <w:color w:val="000000"/>
              </w:rPr>
              <w:t xml:space="preserve"> 1.1.1 under Lot 1</w:t>
            </w:r>
            <w:r>
              <w:rPr>
                <w:rFonts w:ascii="Times New Roman" w:eastAsia="Times New Roman" w:hAnsi="Times New Roman" w:cs="Times New Roman"/>
                <w:bCs/>
                <w:color w:val="000000"/>
              </w:rPr>
              <w:t>,</w:t>
            </w:r>
            <w:r w:rsidRPr="00550BF1">
              <w:rPr>
                <w:rFonts w:ascii="Times New Roman" w:eastAsia="Times New Roman" w:hAnsi="Times New Roman" w:cs="Times New Roman"/>
                <w:bCs/>
                <w:color w:val="000000"/>
              </w:rPr>
              <w:t xml:space="preserve"> </w:t>
            </w:r>
            <w:r>
              <w:rPr>
                <w:rFonts w:ascii="Times New Roman" w:eastAsia="Times New Roman" w:hAnsi="Times New Roman" w:cs="Times New Roman"/>
                <w:bCs/>
                <w:color w:val="000000"/>
              </w:rPr>
              <w:t>proposed actions</w:t>
            </w:r>
            <w:r w:rsidRPr="00550BF1">
              <w:rPr>
                <w:rFonts w:ascii="Times New Roman" w:eastAsia="Times New Roman" w:hAnsi="Times New Roman" w:cs="Times New Roman"/>
                <w:bCs/>
                <w:color w:val="000000"/>
              </w:rPr>
              <w:t xml:space="preserve"> should facilitate the adoption and production of either diversified food crops or animal products or both.</w:t>
            </w:r>
          </w:p>
        </w:tc>
      </w:tr>
      <w:tr w:rsidR="00BB0FC0" w:rsidRPr="00914BD3" w14:paraId="4F910BFF" w14:textId="77777777" w:rsidTr="00915BC1">
        <w:tc>
          <w:tcPr>
            <w:tcW w:w="851" w:type="dxa"/>
            <w:shd w:val="clear" w:color="auto" w:fill="FFFFFF" w:themeFill="background1"/>
          </w:tcPr>
          <w:p w14:paraId="7EAE4678" w14:textId="77777777" w:rsidR="00BB0FC0" w:rsidRPr="00914BD3" w:rsidRDefault="00BB0FC0" w:rsidP="002D32F6">
            <w:pPr>
              <w:pStyle w:val="ListParagraph"/>
              <w:numPr>
                <w:ilvl w:val="0"/>
                <w:numId w:val="21"/>
              </w:numPr>
              <w:jc w:val="center"/>
              <w:rPr>
                <w:rFonts w:ascii="Times New Roman" w:eastAsia="Times New Roman" w:hAnsi="Times New Roman" w:cs="Times New Roman"/>
                <w:bCs/>
                <w:color w:val="000000"/>
              </w:rPr>
            </w:pPr>
          </w:p>
        </w:tc>
        <w:tc>
          <w:tcPr>
            <w:tcW w:w="6783" w:type="dxa"/>
            <w:shd w:val="clear" w:color="auto" w:fill="FFFFFF" w:themeFill="background1"/>
          </w:tcPr>
          <w:p w14:paraId="1D640E0D" w14:textId="75E6C360" w:rsidR="00BB0FC0" w:rsidRDefault="00BB0FC0" w:rsidP="00BB0FC0">
            <w:pPr>
              <w:ind w:left="-54"/>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w:t>
            </w:r>
            <w:r w:rsidRPr="00CB32F7">
              <w:rPr>
                <w:rFonts w:ascii="Times New Roman" w:eastAsia="Times New Roman" w:hAnsi="Times New Roman" w:cs="Times New Roman"/>
                <w:bCs/>
                <w:color w:val="000000"/>
              </w:rPr>
              <w:t>Can an applicant take up actions relating to nutritional governance in districts which are not supported by UNICEF?</w:t>
            </w:r>
          </w:p>
          <w:p w14:paraId="4F04F454" w14:textId="77777777" w:rsidR="003C13BD" w:rsidRDefault="003C13BD" w:rsidP="00BB0FC0">
            <w:pPr>
              <w:ind w:left="-54"/>
              <w:jc w:val="both"/>
              <w:rPr>
                <w:rFonts w:ascii="Times New Roman" w:eastAsia="Times New Roman" w:hAnsi="Times New Roman" w:cs="Times New Roman"/>
                <w:bCs/>
                <w:color w:val="000000"/>
              </w:rPr>
            </w:pPr>
          </w:p>
          <w:p w14:paraId="227BCBC9" w14:textId="48941784" w:rsidR="00BB0FC0" w:rsidRDefault="00BB0FC0" w:rsidP="00BB0FC0">
            <w:pPr>
              <w:ind w:left="-54"/>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w:t>
            </w:r>
            <w:r w:rsidRPr="00B3716B">
              <w:rPr>
                <w:rFonts w:ascii="Times New Roman" w:eastAsia="Times New Roman" w:hAnsi="Times New Roman" w:cs="Times New Roman"/>
                <w:bCs/>
                <w:color w:val="000000"/>
              </w:rPr>
              <w:t>How far will the project support the LPTM (Long term permanent method) and LARC (Long acting reversible contraceptives) under Activity 1.3.2</w:t>
            </w:r>
            <w:r>
              <w:rPr>
                <w:rFonts w:ascii="Times New Roman" w:eastAsia="Times New Roman" w:hAnsi="Times New Roman" w:cs="Times New Roman"/>
                <w:bCs/>
                <w:color w:val="000000"/>
              </w:rPr>
              <w:t xml:space="preserve"> </w:t>
            </w:r>
            <w:r w:rsidRPr="00B3716B">
              <w:rPr>
                <w:rFonts w:ascii="Times New Roman" w:eastAsia="Times New Roman" w:hAnsi="Times New Roman" w:cs="Times New Roman"/>
                <w:bCs/>
                <w:color w:val="000000"/>
              </w:rPr>
              <w:t>(Increase the use of effective family planning methods with the aim of decreasing the number of teenage pregnancies and increasing child spacing which address both nutrition and population growth issues.)?</w:t>
            </w:r>
            <w:r w:rsidRPr="004078D0">
              <w:rPr>
                <w:rFonts w:ascii="Times New Roman" w:eastAsia="Times New Roman" w:hAnsi="Times New Roman" w:cs="Times New Roman"/>
                <w:bCs/>
                <w:color w:val="000000"/>
              </w:rPr>
              <w:t xml:space="preserve"> </w:t>
            </w:r>
          </w:p>
          <w:p w14:paraId="0245A74E" w14:textId="77777777" w:rsidR="00BB0FC0" w:rsidRDefault="00BB0FC0" w:rsidP="00BB0FC0">
            <w:pPr>
              <w:ind w:left="-54"/>
              <w:jc w:val="both"/>
              <w:rPr>
                <w:rFonts w:ascii="Times New Roman" w:eastAsia="Times New Roman" w:hAnsi="Times New Roman" w:cs="Times New Roman"/>
                <w:bCs/>
                <w:color w:val="000000"/>
              </w:rPr>
            </w:pPr>
          </w:p>
          <w:p w14:paraId="4530012D" w14:textId="77777777" w:rsidR="00BB0FC0" w:rsidRDefault="00BB0FC0" w:rsidP="00BB0FC0">
            <w:pPr>
              <w:ind w:left="-54"/>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w:t>
            </w:r>
            <w:r w:rsidRPr="004078D0">
              <w:rPr>
                <w:rFonts w:ascii="Times New Roman" w:eastAsia="Times New Roman" w:hAnsi="Times New Roman" w:cs="Times New Roman"/>
                <w:bCs/>
                <w:color w:val="000000"/>
              </w:rPr>
              <w:t>Is it allowed to do procurement and distribution of selected medicines like iron and folic acid tablets, de-worming tablets; nutrition supplies like vitamin mineral powder sachets and ready to use therapeutic feeds with funds from the grant?</w:t>
            </w:r>
          </w:p>
          <w:p w14:paraId="5DA9EAC6" w14:textId="77777777" w:rsidR="00BB0FC0" w:rsidRDefault="00BB0FC0" w:rsidP="00BB0FC0">
            <w:pPr>
              <w:ind w:left="-54"/>
              <w:jc w:val="both"/>
              <w:rPr>
                <w:rFonts w:ascii="Times New Roman" w:eastAsia="Times New Roman" w:hAnsi="Times New Roman" w:cs="Times New Roman"/>
                <w:bCs/>
                <w:color w:val="000000"/>
              </w:rPr>
            </w:pPr>
          </w:p>
          <w:p w14:paraId="7ED27362" w14:textId="5AA08D16" w:rsidR="00BB0FC0" w:rsidRDefault="00BB0FC0" w:rsidP="00BB0FC0">
            <w:pPr>
              <w:ind w:left="-54"/>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w:t>
            </w:r>
            <w:r w:rsidRPr="00A140EC">
              <w:rPr>
                <w:rFonts w:ascii="Times New Roman" w:eastAsia="Times New Roman" w:hAnsi="Times New Roman" w:cs="Times New Roman"/>
                <w:bCs/>
                <w:color w:val="000000"/>
              </w:rPr>
              <w:t>Is there a possibility to fund capacity building activities in the health sector service delivery?</w:t>
            </w:r>
          </w:p>
        </w:tc>
        <w:tc>
          <w:tcPr>
            <w:tcW w:w="6776" w:type="dxa"/>
            <w:shd w:val="clear" w:color="auto" w:fill="FFFFFF" w:themeFill="background1"/>
          </w:tcPr>
          <w:p w14:paraId="3037B913" w14:textId="77777777" w:rsidR="00030292" w:rsidRDefault="00030292" w:rsidP="002D32F6">
            <w:pPr>
              <w:ind w:left="-54"/>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P</w:t>
            </w:r>
            <w:r w:rsidRPr="00CB32F7">
              <w:rPr>
                <w:rFonts w:ascii="Times New Roman" w:eastAsia="Times New Roman" w:hAnsi="Times New Roman" w:cs="Times New Roman"/>
                <w:bCs/>
                <w:color w:val="000000"/>
              </w:rPr>
              <w:t>roposed acti</w:t>
            </w:r>
            <w:r>
              <w:rPr>
                <w:rFonts w:ascii="Times New Roman" w:eastAsia="Times New Roman" w:hAnsi="Times New Roman" w:cs="Times New Roman"/>
                <w:bCs/>
                <w:color w:val="000000"/>
              </w:rPr>
              <w:t>ons</w:t>
            </w:r>
            <w:r w:rsidRPr="00CB32F7">
              <w:rPr>
                <w:rFonts w:ascii="Times New Roman" w:eastAsia="Times New Roman" w:hAnsi="Times New Roman" w:cs="Times New Roman"/>
                <w:bCs/>
                <w:color w:val="000000"/>
              </w:rPr>
              <w:t xml:space="preserve"> should be based on an assessment of the sit</w:t>
            </w:r>
            <w:r>
              <w:rPr>
                <w:rFonts w:ascii="Times New Roman" w:eastAsia="Times New Roman" w:hAnsi="Times New Roman" w:cs="Times New Roman"/>
                <w:bCs/>
                <w:color w:val="000000"/>
              </w:rPr>
              <w:t>uation made by the applicants.</w:t>
            </w:r>
          </w:p>
          <w:p w14:paraId="0113EDCA" w14:textId="77777777" w:rsidR="00030292" w:rsidRDefault="00030292" w:rsidP="002D32F6">
            <w:pPr>
              <w:ind w:left="-54"/>
              <w:jc w:val="both"/>
              <w:rPr>
                <w:rFonts w:ascii="Times New Roman" w:eastAsia="Times New Roman" w:hAnsi="Times New Roman" w:cs="Times New Roman"/>
                <w:bCs/>
                <w:color w:val="000000"/>
              </w:rPr>
            </w:pPr>
          </w:p>
          <w:p w14:paraId="600FB415" w14:textId="64C3ED22" w:rsidR="00BB0FC0" w:rsidRDefault="00BB0FC0" w:rsidP="002D32F6">
            <w:pPr>
              <w:ind w:left="-54"/>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Refer to the 1</w:t>
            </w:r>
            <w:r w:rsidRPr="00E05916">
              <w:rPr>
                <w:rFonts w:ascii="Times New Roman" w:eastAsia="Times New Roman" w:hAnsi="Times New Roman" w:cs="Times New Roman"/>
                <w:bCs/>
                <w:color w:val="000000"/>
                <w:vertAlign w:val="superscript"/>
              </w:rPr>
              <w:t>st</w:t>
            </w:r>
            <w:r>
              <w:rPr>
                <w:rFonts w:ascii="Times New Roman" w:eastAsia="Times New Roman" w:hAnsi="Times New Roman" w:cs="Times New Roman"/>
                <w:bCs/>
                <w:color w:val="000000"/>
              </w:rPr>
              <w:t xml:space="preserve"> specific consideration for Lot 1</w:t>
            </w:r>
            <w:r w:rsidRPr="00E05916">
              <w:rPr>
                <w:rFonts w:ascii="Times New Roman" w:eastAsia="Times New Roman" w:hAnsi="Times New Roman" w:cs="Times New Roman"/>
                <w:bCs/>
                <w:color w:val="000000"/>
              </w:rPr>
              <w:t xml:space="preserve"> </w:t>
            </w:r>
            <w:r>
              <w:rPr>
                <w:rFonts w:ascii="Times New Roman" w:eastAsia="Times New Roman" w:hAnsi="Times New Roman" w:cs="Times New Roman"/>
                <w:bCs/>
                <w:color w:val="000000"/>
              </w:rPr>
              <w:t xml:space="preserve">related to nutrition activities (sensitive and specific) on page 7. </w:t>
            </w:r>
            <w:r w:rsidRPr="00603958">
              <w:rPr>
                <w:rFonts w:ascii="Times New Roman" w:eastAsia="Times New Roman" w:hAnsi="Times New Roman" w:cs="Times New Roman"/>
                <w:bCs/>
                <w:color w:val="000000"/>
              </w:rPr>
              <w:t>Refer to the footnote page 5 of the Guidelines for Applicants.</w:t>
            </w:r>
            <w:r>
              <w:rPr>
                <w:rFonts w:ascii="Times New Roman" w:eastAsia="Times New Roman" w:hAnsi="Times New Roman" w:cs="Times New Roman"/>
                <w:bCs/>
                <w:color w:val="000000"/>
              </w:rPr>
              <w:t xml:space="preserve"> </w:t>
            </w:r>
            <w:r w:rsidR="00030292">
              <w:rPr>
                <w:rFonts w:ascii="Times New Roman" w:eastAsia="Times New Roman" w:hAnsi="Times New Roman" w:cs="Times New Roman"/>
                <w:bCs/>
                <w:color w:val="000000"/>
              </w:rPr>
              <w:t>More activities may be included if deemed relevant to achieve the results.</w:t>
            </w:r>
          </w:p>
          <w:p w14:paraId="557C833D" w14:textId="77777777" w:rsidR="00BB0FC0" w:rsidRDefault="00BB0FC0" w:rsidP="00BB0FC0">
            <w:pPr>
              <w:jc w:val="both"/>
              <w:rPr>
                <w:rFonts w:ascii="Times New Roman" w:eastAsia="Times New Roman" w:hAnsi="Times New Roman" w:cs="Times New Roman"/>
                <w:bCs/>
                <w:color w:val="000000"/>
              </w:rPr>
            </w:pPr>
          </w:p>
          <w:p w14:paraId="24C38D6F" w14:textId="6DC5322C" w:rsidR="00BB0FC0" w:rsidRDefault="00BB0FC0" w:rsidP="00BB0FC0">
            <w:pPr>
              <w:ind w:left="-54"/>
              <w:jc w:val="both"/>
              <w:rPr>
                <w:rFonts w:ascii="Times New Roman" w:eastAsia="Times New Roman" w:hAnsi="Times New Roman" w:cs="Times New Roman"/>
                <w:bCs/>
                <w:color w:val="000000"/>
              </w:rPr>
            </w:pPr>
            <w:r w:rsidRPr="00CB32F7">
              <w:rPr>
                <w:rFonts w:ascii="Times New Roman" w:eastAsia="Times New Roman" w:hAnsi="Times New Roman" w:cs="Times New Roman"/>
                <w:bCs/>
                <w:color w:val="000000"/>
              </w:rPr>
              <w:t xml:space="preserve">As specified page 6, proposed actions under Lot 1 must cover all the results and related activities under all the 3 result areas. If additional activities are deemed relevant to reach the objectives of the programme, they could be added. The proposed activities should be based on an assessment of the situation made by the applicants.  </w:t>
            </w:r>
          </w:p>
          <w:p w14:paraId="7D159FBB" w14:textId="77777777" w:rsidR="00BB0FC0" w:rsidRDefault="00BB0FC0" w:rsidP="00BB0FC0">
            <w:pPr>
              <w:ind w:left="-54"/>
              <w:jc w:val="both"/>
              <w:rPr>
                <w:rFonts w:ascii="Times New Roman" w:eastAsia="Times New Roman" w:hAnsi="Times New Roman" w:cs="Times New Roman"/>
                <w:bCs/>
                <w:color w:val="000000"/>
              </w:rPr>
            </w:pPr>
          </w:p>
          <w:p w14:paraId="6AA1784D" w14:textId="419DC2EB" w:rsidR="00BB0FC0" w:rsidRDefault="00BB0FC0" w:rsidP="00BB0FC0">
            <w:pPr>
              <w:ind w:left="-54"/>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Refer as well to the Action Document of the DINU programme (link provided under footnote 1 of the Guidelines for Applicants, page 4).</w:t>
            </w:r>
          </w:p>
        </w:tc>
      </w:tr>
      <w:tr w:rsidR="008E32D0" w:rsidRPr="00CB32F7" w14:paraId="59BE4F0E" w14:textId="77777777" w:rsidTr="00915BC1">
        <w:tc>
          <w:tcPr>
            <w:tcW w:w="851" w:type="dxa"/>
            <w:shd w:val="clear" w:color="auto" w:fill="FFFFFF" w:themeFill="background1"/>
          </w:tcPr>
          <w:p w14:paraId="543E08E8" w14:textId="77777777" w:rsidR="008E32D0" w:rsidRPr="00CB32F7" w:rsidRDefault="008E32D0" w:rsidP="002D32F6">
            <w:pPr>
              <w:pStyle w:val="ListParagraph"/>
              <w:numPr>
                <w:ilvl w:val="0"/>
                <w:numId w:val="21"/>
              </w:numPr>
              <w:jc w:val="center"/>
              <w:rPr>
                <w:rFonts w:ascii="Times New Roman" w:eastAsia="Times New Roman" w:hAnsi="Times New Roman" w:cs="Times New Roman"/>
                <w:bCs/>
                <w:color w:val="000000"/>
              </w:rPr>
            </w:pPr>
          </w:p>
        </w:tc>
        <w:tc>
          <w:tcPr>
            <w:tcW w:w="6783" w:type="dxa"/>
            <w:shd w:val="clear" w:color="auto" w:fill="FFFFFF" w:themeFill="background1"/>
          </w:tcPr>
          <w:p w14:paraId="1FCCF887" w14:textId="77777777" w:rsidR="00030292" w:rsidRDefault="008E32D0" w:rsidP="002D32F6">
            <w:pPr>
              <w:ind w:left="-54"/>
              <w:jc w:val="both"/>
              <w:rPr>
                <w:rFonts w:ascii="Times New Roman" w:eastAsia="Times New Roman" w:hAnsi="Times New Roman" w:cs="Times New Roman"/>
                <w:bCs/>
                <w:color w:val="000000"/>
              </w:rPr>
            </w:pPr>
            <w:r w:rsidRPr="00CB32F7">
              <w:rPr>
                <w:rFonts w:ascii="Times New Roman" w:eastAsia="Times New Roman" w:hAnsi="Times New Roman" w:cs="Times New Roman"/>
                <w:bCs/>
                <w:color w:val="000000"/>
              </w:rPr>
              <w:t xml:space="preserve">- Considering that result areas 1 and 2 seem to contribute to result 3, do these 3 result areas under Lot 1 have the same weight? </w:t>
            </w:r>
          </w:p>
          <w:p w14:paraId="129FA55B" w14:textId="77777777" w:rsidR="00030292" w:rsidRDefault="00030292" w:rsidP="002D32F6">
            <w:pPr>
              <w:ind w:left="-54"/>
              <w:jc w:val="both"/>
              <w:rPr>
                <w:rFonts w:ascii="Times New Roman" w:eastAsia="Times New Roman" w:hAnsi="Times New Roman" w:cs="Times New Roman"/>
                <w:bCs/>
                <w:color w:val="000000"/>
              </w:rPr>
            </w:pPr>
          </w:p>
          <w:p w14:paraId="6DDD2BA9" w14:textId="77777777" w:rsidR="00030292" w:rsidRDefault="008E32D0" w:rsidP="002D32F6">
            <w:pPr>
              <w:ind w:left="-54"/>
              <w:jc w:val="both"/>
              <w:rPr>
                <w:rFonts w:ascii="Times New Roman" w:eastAsia="Times New Roman" w:hAnsi="Times New Roman" w:cs="Times New Roman"/>
                <w:bCs/>
                <w:color w:val="000000"/>
              </w:rPr>
            </w:pPr>
            <w:r w:rsidRPr="00CB32F7">
              <w:rPr>
                <w:rFonts w:ascii="Times New Roman" w:eastAsia="Times New Roman" w:hAnsi="Times New Roman" w:cs="Times New Roman"/>
                <w:bCs/>
                <w:color w:val="000000"/>
              </w:rPr>
              <w:t xml:space="preserve">- Can an applicant include ideas in the Concept Note which are outside the results and actions indicated in the Guidelines for Applicants? </w:t>
            </w:r>
          </w:p>
          <w:p w14:paraId="5E02FD1A" w14:textId="77777777" w:rsidR="00030292" w:rsidRDefault="00030292" w:rsidP="002D32F6">
            <w:pPr>
              <w:ind w:left="-54"/>
              <w:jc w:val="both"/>
              <w:rPr>
                <w:rFonts w:ascii="Times New Roman" w:eastAsia="Times New Roman" w:hAnsi="Times New Roman" w:cs="Times New Roman"/>
                <w:bCs/>
                <w:color w:val="000000"/>
              </w:rPr>
            </w:pPr>
          </w:p>
          <w:p w14:paraId="218C9FA5" w14:textId="77777777" w:rsidR="00030292" w:rsidRDefault="008E32D0" w:rsidP="002D32F6">
            <w:pPr>
              <w:ind w:left="-54"/>
              <w:jc w:val="both"/>
              <w:rPr>
                <w:rFonts w:ascii="Times New Roman" w:eastAsia="Times New Roman" w:hAnsi="Times New Roman" w:cs="Times New Roman"/>
                <w:bCs/>
                <w:color w:val="000000"/>
              </w:rPr>
            </w:pPr>
            <w:r w:rsidRPr="00CB32F7">
              <w:rPr>
                <w:rFonts w:ascii="Times New Roman" w:eastAsia="Times New Roman" w:hAnsi="Times New Roman" w:cs="Times New Roman"/>
                <w:bCs/>
                <w:color w:val="000000"/>
              </w:rPr>
              <w:t>- Can a Concept Note address new ideas outside the proposed actions?</w:t>
            </w:r>
          </w:p>
          <w:p w14:paraId="2557725D" w14:textId="77777777" w:rsidR="00030292" w:rsidRDefault="00030292" w:rsidP="002D32F6">
            <w:pPr>
              <w:ind w:left="-54"/>
              <w:jc w:val="both"/>
              <w:rPr>
                <w:rFonts w:ascii="Times New Roman" w:eastAsia="Times New Roman" w:hAnsi="Times New Roman" w:cs="Times New Roman"/>
                <w:bCs/>
                <w:color w:val="000000"/>
              </w:rPr>
            </w:pPr>
          </w:p>
          <w:p w14:paraId="652DA5E0" w14:textId="2AD54519" w:rsidR="008E32D0" w:rsidRPr="00CB32F7" w:rsidRDefault="008E32D0" w:rsidP="002D32F6">
            <w:pPr>
              <w:ind w:left="-54"/>
              <w:jc w:val="both"/>
              <w:rPr>
                <w:rFonts w:ascii="Times New Roman" w:eastAsia="Times New Roman" w:hAnsi="Times New Roman" w:cs="Times New Roman"/>
                <w:bCs/>
                <w:color w:val="000000"/>
              </w:rPr>
            </w:pPr>
            <w:r w:rsidRPr="00CB32F7">
              <w:rPr>
                <w:rFonts w:ascii="Times New Roman" w:eastAsia="Times New Roman" w:hAnsi="Times New Roman" w:cs="Times New Roman"/>
                <w:bCs/>
                <w:color w:val="000000"/>
              </w:rPr>
              <w:t>- Does the Call focus on proposals that only address the gaps, or new geographical areas of existing activities or new activities that help to complete the gaps?</w:t>
            </w:r>
          </w:p>
        </w:tc>
        <w:tc>
          <w:tcPr>
            <w:tcW w:w="6776" w:type="dxa"/>
            <w:shd w:val="clear" w:color="auto" w:fill="FFFFFF" w:themeFill="background1"/>
          </w:tcPr>
          <w:p w14:paraId="2341601D" w14:textId="77777777" w:rsidR="008E32D0" w:rsidRDefault="008E32D0" w:rsidP="00EA59DA">
            <w:pPr>
              <w:jc w:val="both"/>
              <w:rPr>
                <w:rFonts w:ascii="Times New Roman" w:eastAsia="Times New Roman" w:hAnsi="Times New Roman" w:cs="Times New Roman"/>
                <w:bCs/>
                <w:color w:val="000000"/>
              </w:rPr>
            </w:pPr>
            <w:r w:rsidRPr="00CB32F7">
              <w:rPr>
                <w:rFonts w:ascii="Times New Roman" w:eastAsia="Times New Roman" w:hAnsi="Times New Roman" w:cs="Times New Roman"/>
                <w:bCs/>
                <w:color w:val="000000"/>
              </w:rPr>
              <w:t xml:space="preserve">The Concept Note must address the specific objectives, result areas and activities for each lot as specified in section 1.2 of the Guidelines for Applicants. Moreover, the applicant should consider the priority issues for Lots 1 and 2 and the specifications considerations for each lot as specified in section 1.2, pages 6-9. As specified page 6, proposed actions under Lot 1 must cover all the results and related activities under all the 3 result areas. </w:t>
            </w:r>
          </w:p>
          <w:p w14:paraId="1E10F4EE" w14:textId="77777777" w:rsidR="008E32D0" w:rsidRDefault="008E32D0" w:rsidP="00EA59DA">
            <w:pPr>
              <w:jc w:val="both"/>
              <w:rPr>
                <w:rFonts w:ascii="Times New Roman" w:eastAsia="Times New Roman" w:hAnsi="Times New Roman" w:cs="Times New Roman"/>
                <w:bCs/>
                <w:color w:val="000000"/>
              </w:rPr>
            </w:pPr>
          </w:p>
          <w:p w14:paraId="57D677C9" w14:textId="0B78FD66" w:rsidR="008E32D0" w:rsidRPr="00CB32F7" w:rsidRDefault="00AD6E17" w:rsidP="00AD6E17">
            <w:pPr>
              <w:jc w:val="both"/>
              <w:rPr>
                <w:rFonts w:ascii="Times New Roman" w:eastAsia="Times New Roman" w:hAnsi="Times New Roman" w:cs="Times New Roman"/>
                <w:bCs/>
                <w:color w:val="000000"/>
              </w:rPr>
            </w:pPr>
            <w:r w:rsidRPr="00CB32F7">
              <w:rPr>
                <w:rFonts w:ascii="Times New Roman" w:eastAsia="Times New Roman" w:hAnsi="Times New Roman" w:cs="Times New Roman"/>
                <w:bCs/>
                <w:color w:val="000000"/>
              </w:rPr>
              <w:t>The proposed activities should be based on an assessment of the situation and of th</w:t>
            </w:r>
            <w:r>
              <w:rPr>
                <w:rFonts w:ascii="Times New Roman" w:eastAsia="Times New Roman" w:hAnsi="Times New Roman" w:cs="Times New Roman"/>
                <w:bCs/>
                <w:color w:val="000000"/>
              </w:rPr>
              <w:t xml:space="preserve">e needs made by the applicants. </w:t>
            </w:r>
            <w:r w:rsidR="008E32D0" w:rsidRPr="00CB32F7">
              <w:rPr>
                <w:rFonts w:ascii="Times New Roman" w:eastAsia="Times New Roman" w:hAnsi="Times New Roman" w:cs="Times New Roman"/>
                <w:bCs/>
                <w:color w:val="000000"/>
              </w:rPr>
              <w:t xml:space="preserve">If additional activities are deemed relevant to reach the objectives of the programme, they could be added. Activities under result areas 1 and 2 are different than activities under result 3. </w:t>
            </w:r>
          </w:p>
        </w:tc>
      </w:tr>
      <w:tr w:rsidR="00BB0FC0" w:rsidRPr="00914BD3" w14:paraId="465205AF" w14:textId="77777777" w:rsidTr="00915BC1">
        <w:tc>
          <w:tcPr>
            <w:tcW w:w="851" w:type="dxa"/>
            <w:shd w:val="clear" w:color="auto" w:fill="FFFFFF" w:themeFill="background1"/>
          </w:tcPr>
          <w:p w14:paraId="305315DA" w14:textId="77777777" w:rsidR="00BB0FC0" w:rsidRPr="00914BD3" w:rsidRDefault="00BB0FC0" w:rsidP="002D32F6">
            <w:pPr>
              <w:pStyle w:val="ListParagraph"/>
              <w:numPr>
                <w:ilvl w:val="0"/>
                <w:numId w:val="21"/>
              </w:numPr>
              <w:jc w:val="center"/>
              <w:rPr>
                <w:rFonts w:ascii="Times New Roman" w:eastAsia="Times New Roman" w:hAnsi="Times New Roman" w:cs="Times New Roman"/>
                <w:bCs/>
                <w:color w:val="000000"/>
              </w:rPr>
            </w:pPr>
          </w:p>
        </w:tc>
        <w:tc>
          <w:tcPr>
            <w:tcW w:w="6783" w:type="dxa"/>
            <w:shd w:val="clear" w:color="auto" w:fill="FFFFFF" w:themeFill="background1"/>
          </w:tcPr>
          <w:p w14:paraId="7E7A1672" w14:textId="77777777" w:rsidR="00BB0FC0" w:rsidRPr="00361C96" w:rsidRDefault="00BB0FC0" w:rsidP="00EA59DA">
            <w:pPr>
              <w:ind w:left="-54"/>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w:t>
            </w:r>
            <w:r w:rsidRPr="00A81A51">
              <w:rPr>
                <w:rFonts w:ascii="Times New Roman" w:eastAsia="Times New Roman" w:hAnsi="Times New Roman" w:cs="Times New Roman"/>
                <w:bCs/>
                <w:color w:val="000000"/>
              </w:rPr>
              <w:t>To avoid spreading thin, what is the minimum number of households to consider in an application?</w:t>
            </w:r>
          </w:p>
        </w:tc>
        <w:tc>
          <w:tcPr>
            <w:tcW w:w="6776" w:type="dxa"/>
            <w:shd w:val="clear" w:color="auto" w:fill="FFFFFF" w:themeFill="background1"/>
          </w:tcPr>
          <w:p w14:paraId="2CBC13D8" w14:textId="4C7E1EBA" w:rsidR="00AD6E17" w:rsidRPr="000B0C6A" w:rsidRDefault="00BB0FC0" w:rsidP="00AD6E17">
            <w:pPr>
              <w:ind w:left="-54"/>
              <w:jc w:val="both"/>
              <w:rPr>
                <w:rFonts w:ascii="Times New Roman" w:eastAsia="Times New Roman" w:hAnsi="Times New Roman" w:cs="Times New Roman"/>
                <w:bCs/>
                <w:color w:val="000000"/>
              </w:rPr>
            </w:pPr>
            <w:r w:rsidRPr="00CA5850">
              <w:rPr>
                <w:rFonts w:ascii="Times New Roman" w:eastAsia="Times New Roman" w:hAnsi="Times New Roman" w:cs="Times New Roman"/>
                <w:bCs/>
                <w:color w:val="000000"/>
              </w:rPr>
              <w:t xml:space="preserve">The Call does not define the minimum of households to be covered. </w:t>
            </w:r>
            <w:r w:rsidRPr="00CB32F7">
              <w:rPr>
                <w:rFonts w:ascii="Times New Roman" w:eastAsia="Times New Roman" w:hAnsi="Times New Roman" w:cs="Times New Roman"/>
                <w:bCs/>
                <w:color w:val="000000"/>
              </w:rPr>
              <w:t xml:space="preserve">The </w:t>
            </w:r>
            <w:r>
              <w:rPr>
                <w:rFonts w:ascii="Times New Roman" w:eastAsia="Times New Roman" w:hAnsi="Times New Roman" w:cs="Times New Roman"/>
                <w:bCs/>
                <w:color w:val="000000"/>
              </w:rPr>
              <w:t xml:space="preserve">number of households to be covered </w:t>
            </w:r>
            <w:r w:rsidRPr="00CB32F7">
              <w:rPr>
                <w:rFonts w:ascii="Times New Roman" w:eastAsia="Times New Roman" w:hAnsi="Times New Roman" w:cs="Times New Roman"/>
                <w:bCs/>
                <w:color w:val="000000"/>
              </w:rPr>
              <w:t xml:space="preserve">should be based on an assessment of the situation </w:t>
            </w:r>
            <w:r>
              <w:rPr>
                <w:rFonts w:ascii="Times New Roman" w:eastAsia="Times New Roman" w:hAnsi="Times New Roman" w:cs="Times New Roman"/>
                <w:bCs/>
                <w:color w:val="000000"/>
              </w:rPr>
              <w:t>made by the applicants and the expected impact of the proposed action.</w:t>
            </w:r>
          </w:p>
        </w:tc>
      </w:tr>
      <w:tr w:rsidR="00BB0FC0" w:rsidRPr="00914BD3" w14:paraId="0D9D7203" w14:textId="77777777" w:rsidTr="00915BC1">
        <w:tc>
          <w:tcPr>
            <w:tcW w:w="851" w:type="dxa"/>
            <w:shd w:val="clear" w:color="auto" w:fill="FFFFFF" w:themeFill="background1"/>
          </w:tcPr>
          <w:p w14:paraId="53B0D79A" w14:textId="77777777" w:rsidR="00BB0FC0" w:rsidRPr="00914BD3" w:rsidRDefault="00BB0FC0" w:rsidP="002D32F6">
            <w:pPr>
              <w:pStyle w:val="ListParagraph"/>
              <w:numPr>
                <w:ilvl w:val="0"/>
                <w:numId w:val="21"/>
              </w:numPr>
              <w:jc w:val="center"/>
              <w:rPr>
                <w:rFonts w:ascii="Times New Roman" w:eastAsia="Times New Roman" w:hAnsi="Times New Roman" w:cs="Times New Roman"/>
                <w:bCs/>
                <w:color w:val="000000"/>
              </w:rPr>
            </w:pPr>
          </w:p>
        </w:tc>
        <w:tc>
          <w:tcPr>
            <w:tcW w:w="6783" w:type="dxa"/>
            <w:shd w:val="clear" w:color="auto" w:fill="FFFFFF" w:themeFill="background1"/>
          </w:tcPr>
          <w:p w14:paraId="424BFE4B" w14:textId="77777777" w:rsidR="00BB0FC0" w:rsidRDefault="00BB0FC0" w:rsidP="00EA59DA">
            <w:pPr>
              <w:ind w:left="-54"/>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w:t>
            </w:r>
            <w:r w:rsidRPr="009F0F0F">
              <w:rPr>
                <w:rFonts w:ascii="Times New Roman" w:eastAsia="Times New Roman" w:hAnsi="Times New Roman" w:cs="Times New Roman"/>
                <w:bCs/>
                <w:color w:val="000000"/>
              </w:rPr>
              <w:t>Can one work with refugees who are based in eligible districts?</w:t>
            </w:r>
            <w:r w:rsidRPr="00C32BBB">
              <w:rPr>
                <w:rFonts w:ascii="Times New Roman" w:eastAsia="Times New Roman" w:hAnsi="Times New Roman" w:cs="Times New Roman"/>
                <w:bCs/>
                <w:color w:val="000000"/>
              </w:rPr>
              <w:t xml:space="preserve"> </w:t>
            </w:r>
          </w:p>
          <w:p w14:paraId="78676ACB" w14:textId="77777777" w:rsidR="00BB0FC0" w:rsidRDefault="00BB0FC0" w:rsidP="00EA59DA">
            <w:pPr>
              <w:ind w:left="-54"/>
              <w:jc w:val="both"/>
              <w:rPr>
                <w:rFonts w:ascii="Times New Roman" w:eastAsia="Times New Roman" w:hAnsi="Times New Roman" w:cs="Times New Roman"/>
                <w:bCs/>
                <w:color w:val="000000"/>
              </w:rPr>
            </w:pPr>
          </w:p>
          <w:p w14:paraId="3278EF00" w14:textId="77777777" w:rsidR="00BB0FC0" w:rsidRPr="00361C96" w:rsidRDefault="00BB0FC0" w:rsidP="00EA59DA">
            <w:pPr>
              <w:ind w:left="-54"/>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w:t>
            </w:r>
            <w:r w:rsidRPr="00C32BBB">
              <w:rPr>
                <w:rFonts w:ascii="Times New Roman" w:eastAsia="Times New Roman" w:hAnsi="Times New Roman" w:cs="Times New Roman"/>
                <w:bCs/>
                <w:color w:val="000000"/>
              </w:rPr>
              <w:t>Is there a provision under this Call to support refugees?</w:t>
            </w:r>
          </w:p>
        </w:tc>
        <w:tc>
          <w:tcPr>
            <w:tcW w:w="6776" w:type="dxa"/>
            <w:shd w:val="clear" w:color="auto" w:fill="FFFFFF" w:themeFill="background1"/>
          </w:tcPr>
          <w:p w14:paraId="64759336" w14:textId="1FC01A44" w:rsidR="00BB0FC0" w:rsidRPr="000B0C6A" w:rsidRDefault="00BB0FC0" w:rsidP="002A6A47">
            <w:pPr>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The Call does not provide guidance on the status of the beneficiaries. However, a</w:t>
            </w:r>
            <w:r w:rsidRPr="00F81710">
              <w:rPr>
                <w:rFonts w:ascii="Times New Roman" w:eastAsia="Times New Roman" w:hAnsi="Times New Roman" w:cs="Times New Roman"/>
                <w:bCs/>
                <w:color w:val="000000"/>
              </w:rPr>
              <w:t>pplicants should note that “in refugee receiving districts where humanitarian and mid-and long-term development programmes are ongoing, it will be important to demonstrate the proposed compleme</w:t>
            </w:r>
            <w:r>
              <w:rPr>
                <w:rFonts w:ascii="Times New Roman" w:eastAsia="Times New Roman" w:hAnsi="Times New Roman" w:cs="Times New Roman"/>
                <w:bCs/>
                <w:color w:val="000000"/>
              </w:rPr>
              <w:t>ntarities using a "Nexus" lens</w:t>
            </w:r>
            <w:r w:rsidR="002A6A47">
              <w:rPr>
                <w:rFonts w:ascii="Times New Roman" w:eastAsia="Times New Roman" w:hAnsi="Times New Roman" w:cs="Times New Roman"/>
                <w:bCs/>
                <w:color w:val="000000"/>
              </w:rPr>
              <w:t xml:space="preserve"> </w:t>
            </w:r>
            <w:r>
              <w:rPr>
                <w:rFonts w:ascii="Times New Roman" w:eastAsia="Times New Roman" w:hAnsi="Times New Roman" w:cs="Times New Roman"/>
                <w:bCs/>
                <w:color w:val="000000"/>
              </w:rPr>
              <w:t>ˮ.</w:t>
            </w:r>
            <w:r w:rsidRPr="00F81710">
              <w:rPr>
                <w:rFonts w:ascii="Times New Roman" w:eastAsia="Times New Roman" w:hAnsi="Times New Roman" w:cs="Times New Roman"/>
                <w:bCs/>
                <w:color w:val="000000"/>
              </w:rPr>
              <w:t xml:space="preserve"> </w:t>
            </w:r>
            <w:r>
              <w:rPr>
                <w:rFonts w:ascii="Times New Roman" w:eastAsia="Times New Roman" w:hAnsi="Times New Roman" w:cs="Times New Roman"/>
                <w:bCs/>
                <w:color w:val="000000"/>
              </w:rPr>
              <w:t xml:space="preserve">Refer to </w:t>
            </w:r>
            <w:r w:rsidRPr="00F81710">
              <w:rPr>
                <w:rFonts w:ascii="Times New Roman" w:eastAsia="Times New Roman" w:hAnsi="Times New Roman" w:cs="Times New Roman"/>
                <w:bCs/>
                <w:color w:val="000000"/>
              </w:rPr>
              <w:t xml:space="preserve">priority issues for Lot 1 and Lot 2 </w:t>
            </w:r>
            <w:r>
              <w:rPr>
                <w:rFonts w:ascii="Times New Roman" w:eastAsia="Times New Roman" w:hAnsi="Times New Roman" w:cs="Times New Roman"/>
                <w:bCs/>
                <w:color w:val="000000"/>
              </w:rPr>
              <w:t>under</w:t>
            </w:r>
            <w:r w:rsidRPr="00F81710">
              <w:rPr>
                <w:rFonts w:ascii="Times New Roman" w:eastAsia="Times New Roman" w:hAnsi="Times New Roman" w:cs="Times New Roman"/>
                <w:bCs/>
                <w:color w:val="000000"/>
              </w:rPr>
              <w:t xml:space="preserve"> section 1.2 </w:t>
            </w:r>
            <w:r>
              <w:rPr>
                <w:rFonts w:ascii="Times New Roman" w:eastAsia="Times New Roman" w:hAnsi="Times New Roman" w:cs="Times New Roman"/>
                <w:bCs/>
                <w:color w:val="000000"/>
              </w:rPr>
              <w:t xml:space="preserve">of </w:t>
            </w:r>
            <w:r w:rsidRPr="00F81710">
              <w:rPr>
                <w:rFonts w:ascii="Times New Roman" w:eastAsia="Times New Roman" w:hAnsi="Times New Roman" w:cs="Times New Roman"/>
                <w:bCs/>
                <w:color w:val="000000"/>
              </w:rPr>
              <w:t>the Guidelines for Applicants, page 6.</w:t>
            </w:r>
          </w:p>
        </w:tc>
      </w:tr>
      <w:tr w:rsidR="002213E2" w:rsidRPr="00D91415" w14:paraId="548A862C" w14:textId="77777777" w:rsidTr="00915BC1">
        <w:tc>
          <w:tcPr>
            <w:tcW w:w="851" w:type="dxa"/>
            <w:shd w:val="clear" w:color="auto" w:fill="FFFFFF" w:themeFill="background1"/>
          </w:tcPr>
          <w:p w14:paraId="5CE00E9A" w14:textId="77777777" w:rsidR="002213E2" w:rsidRPr="00D91415" w:rsidRDefault="002213E2" w:rsidP="002D32F6">
            <w:pPr>
              <w:pStyle w:val="ListParagraph"/>
              <w:numPr>
                <w:ilvl w:val="0"/>
                <w:numId w:val="21"/>
              </w:numPr>
              <w:jc w:val="center"/>
              <w:rPr>
                <w:rFonts w:ascii="Times New Roman" w:eastAsia="Times New Roman" w:hAnsi="Times New Roman" w:cs="Times New Roman"/>
                <w:bCs/>
                <w:color w:val="000000"/>
              </w:rPr>
            </w:pPr>
          </w:p>
        </w:tc>
        <w:tc>
          <w:tcPr>
            <w:tcW w:w="6783" w:type="dxa"/>
            <w:shd w:val="clear" w:color="auto" w:fill="FFFFFF" w:themeFill="background1"/>
          </w:tcPr>
          <w:p w14:paraId="1A9D1AA4" w14:textId="77777777" w:rsidR="002213E2" w:rsidRPr="00CB32F7" w:rsidRDefault="002213E2" w:rsidP="00EA59DA">
            <w:pPr>
              <w:ind w:left="-54"/>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w:t>
            </w:r>
            <w:r w:rsidRPr="00CB32F7">
              <w:rPr>
                <w:rFonts w:ascii="Times New Roman" w:eastAsia="Times New Roman" w:hAnsi="Times New Roman" w:cs="Times New Roman"/>
                <w:bCs/>
                <w:color w:val="000000"/>
              </w:rPr>
              <w:t xml:space="preserve">Does it matter if different results are emphasized in one region more than the other, or must they all be applied equally in all regions? </w:t>
            </w:r>
          </w:p>
          <w:p w14:paraId="1813C040" w14:textId="77777777" w:rsidR="002213E2" w:rsidRDefault="002213E2" w:rsidP="00EA59DA">
            <w:pPr>
              <w:pStyle w:val="ListParagraph"/>
              <w:ind w:left="589"/>
              <w:jc w:val="both"/>
              <w:rPr>
                <w:rFonts w:ascii="Times New Roman" w:eastAsia="Times New Roman" w:hAnsi="Times New Roman" w:cs="Times New Roman"/>
                <w:bCs/>
                <w:color w:val="000000"/>
              </w:rPr>
            </w:pPr>
          </w:p>
          <w:p w14:paraId="48C31358" w14:textId="77777777" w:rsidR="002213E2" w:rsidRPr="00CB32F7" w:rsidRDefault="002213E2" w:rsidP="00EA59DA">
            <w:pPr>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w:t>
            </w:r>
            <w:r w:rsidRPr="00CB32F7">
              <w:rPr>
                <w:rFonts w:ascii="Times New Roman" w:eastAsia="Times New Roman" w:hAnsi="Times New Roman" w:cs="Times New Roman"/>
                <w:bCs/>
                <w:color w:val="000000"/>
              </w:rPr>
              <w:t xml:space="preserve">Does the volume of activities in the different regions matter, or it is the applicant to determine? </w:t>
            </w:r>
          </w:p>
          <w:p w14:paraId="7EC9E45E" w14:textId="77777777" w:rsidR="002213E2" w:rsidRDefault="002213E2" w:rsidP="00EA59DA">
            <w:pPr>
              <w:pStyle w:val="ListParagraph"/>
              <w:ind w:left="589"/>
              <w:jc w:val="both"/>
              <w:rPr>
                <w:rFonts w:ascii="Times New Roman" w:eastAsia="Times New Roman" w:hAnsi="Times New Roman" w:cs="Times New Roman"/>
                <w:bCs/>
                <w:color w:val="000000"/>
              </w:rPr>
            </w:pPr>
          </w:p>
          <w:p w14:paraId="224ADC57" w14:textId="77777777" w:rsidR="002213E2" w:rsidRPr="00CB32F7" w:rsidRDefault="002213E2" w:rsidP="00EA59DA">
            <w:pPr>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w:t>
            </w:r>
            <w:r w:rsidRPr="00CB32F7">
              <w:rPr>
                <w:rFonts w:ascii="Times New Roman" w:eastAsia="Times New Roman" w:hAnsi="Times New Roman" w:cs="Times New Roman"/>
                <w:bCs/>
                <w:color w:val="000000"/>
              </w:rPr>
              <w:t>Must all results be achieved in all the districts selected, or it is for the applicant to determine?</w:t>
            </w:r>
          </w:p>
        </w:tc>
        <w:tc>
          <w:tcPr>
            <w:tcW w:w="6776" w:type="dxa"/>
            <w:shd w:val="clear" w:color="auto" w:fill="FFFFFF" w:themeFill="background1"/>
          </w:tcPr>
          <w:p w14:paraId="2CF3C88D" w14:textId="77777777" w:rsidR="002213E2" w:rsidRDefault="002213E2" w:rsidP="00EA59DA">
            <w:pPr>
              <w:jc w:val="both"/>
              <w:rPr>
                <w:rFonts w:ascii="Times New Roman" w:hAnsi="Times New Roman" w:cs="Times New Roman"/>
              </w:rPr>
            </w:pPr>
            <w:r w:rsidRPr="00CB32F7">
              <w:rPr>
                <w:rFonts w:ascii="Times New Roman" w:hAnsi="Times New Roman" w:cs="Times New Roman"/>
              </w:rPr>
              <w:t xml:space="preserve">As specified in section 1.2 of the Guidelines for Applicants, page 6, proposed actions under each lot must cover all the results and related activities while taking into account the specific considerations as well the priority issues relevant for the lot they apply for. </w:t>
            </w:r>
          </w:p>
          <w:p w14:paraId="1F61A5FC" w14:textId="77777777" w:rsidR="002213E2" w:rsidRDefault="002213E2" w:rsidP="00EA59DA">
            <w:pPr>
              <w:jc w:val="both"/>
              <w:rPr>
                <w:rFonts w:ascii="Times New Roman" w:hAnsi="Times New Roman" w:cs="Times New Roman"/>
              </w:rPr>
            </w:pPr>
          </w:p>
          <w:p w14:paraId="00298972" w14:textId="77777777" w:rsidR="002213E2" w:rsidRPr="00D91415" w:rsidRDefault="002213E2" w:rsidP="00EA59DA">
            <w:pPr>
              <w:jc w:val="both"/>
              <w:rPr>
                <w:rFonts w:ascii="Times New Roman" w:hAnsi="Times New Roman" w:cs="Times New Roman"/>
              </w:rPr>
            </w:pPr>
            <w:r w:rsidRPr="00CB32F7">
              <w:rPr>
                <w:rFonts w:ascii="Times New Roman" w:hAnsi="Times New Roman" w:cs="Times New Roman"/>
              </w:rPr>
              <w:t>Therefore, the applicant should determine the actions according to the needs in specific regions considering the above requirements and ensuring all the results and activities for each lot are implemented in all the proposed areas of intervention.</w:t>
            </w:r>
            <w:r>
              <w:rPr>
                <w:rFonts w:ascii="Times New Roman" w:hAnsi="Times New Roman" w:cs="Times New Roman"/>
              </w:rPr>
              <w:t xml:space="preserve"> </w:t>
            </w:r>
          </w:p>
        </w:tc>
      </w:tr>
      <w:tr w:rsidR="004949BD" w:rsidRPr="00D91415" w14:paraId="54990EE4" w14:textId="77777777" w:rsidTr="00915BC1">
        <w:tc>
          <w:tcPr>
            <w:tcW w:w="851" w:type="dxa"/>
            <w:shd w:val="clear" w:color="auto" w:fill="FFFFFF" w:themeFill="background1"/>
          </w:tcPr>
          <w:p w14:paraId="003A5FBA" w14:textId="77777777" w:rsidR="004949BD" w:rsidRPr="00D91415" w:rsidRDefault="004949BD" w:rsidP="002D32F6">
            <w:pPr>
              <w:pStyle w:val="ListParagraph"/>
              <w:numPr>
                <w:ilvl w:val="0"/>
                <w:numId w:val="21"/>
              </w:numPr>
              <w:jc w:val="center"/>
              <w:rPr>
                <w:rFonts w:ascii="Times New Roman" w:eastAsia="Times New Roman" w:hAnsi="Times New Roman" w:cs="Times New Roman"/>
                <w:bCs/>
                <w:color w:val="000000"/>
              </w:rPr>
            </w:pPr>
          </w:p>
        </w:tc>
        <w:tc>
          <w:tcPr>
            <w:tcW w:w="6783" w:type="dxa"/>
            <w:shd w:val="clear" w:color="auto" w:fill="FFFFFF" w:themeFill="background1"/>
          </w:tcPr>
          <w:p w14:paraId="5A7702B7" w14:textId="5FE66123" w:rsidR="004949BD" w:rsidRDefault="004949BD" w:rsidP="00EA59DA">
            <w:pPr>
              <w:ind w:left="-54"/>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w:t>
            </w:r>
            <w:r w:rsidRPr="004949BD">
              <w:rPr>
                <w:rFonts w:ascii="Times New Roman" w:eastAsia="Times New Roman" w:hAnsi="Times New Roman" w:cs="Times New Roman"/>
                <w:bCs/>
                <w:color w:val="000000"/>
              </w:rPr>
              <w:t>Is there any background information about the performance of districts to assist in selecting districts for implementation under Lot 2?</w:t>
            </w:r>
          </w:p>
        </w:tc>
        <w:tc>
          <w:tcPr>
            <w:tcW w:w="6776" w:type="dxa"/>
            <w:shd w:val="clear" w:color="auto" w:fill="FFFFFF" w:themeFill="background1"/>
          </w:tcPr>
          <w:p w14:paraId="22AFFD67" w14:textId="15EB4CD2" w:rsidR="00AD6E17" w:rsidRPr="00CB32F7" w:rsidRDefault="004949BD" w:rsidP="004949BD">
            <w:pPr>
              <w:jc w:val="both"/>
              <w:rPr>
                <w:rFonts w:ascii="Times New Roman" w:hAnsi="Times New Roman" w:cs="Times New Roman"/>
              </w:rPr>
            </w:pPr>
            <w:r>
              <w:rPr>
                <w:rFonts w:ascii="Times New Roman" w:hAnsi="Times New Roman" w:cs="Times New Roman"/>
              </w:rPr>
              <w:t xml:space="preserve">The Guidelines do not provide this kind of information. Applicants should make their own assessment of the situation. </w:t>
            </w:r>
          </w:p>
        </w:tc>
      </w:tr>
      <w:tr w:rsidR="00030292" w:rsidRPr="00D91415" w14:paraId="2A361992" w14:textId="77777777" w:rsidTr="002D32F6">
        <w:tc>
          <w:tcPr>
            <w:tcW w:w="14410" w:type="dxa"/>
            <w:gridSpan w:val="3"/>
            <w:shd w:val="clear" w:color="auto" w:fill="E2EFD9" w:themeFill="accent6" w:themeFillTint="33"/>
          </w:tcPr>
          <w:p w14:paraId="72AB21A1" w14:textId="71751082" w:rsidR="00030292" w:rsidRPr="002D32F6" w:rsidRDefault="00030292" w:rsidP="007C14FA">
            <w:pPr>
              <w:jc w:val="center"/>
              <w:rPr>
                <w:rFonts w:ascii="Times New Roman" w:eastAsia="Times New Roman" w:hAnsi="Times New Roman" w:cs="Times New Roman"/>
                <w:b/>
                <w:bCs/>
                <w:color w:val="000000"/>
                <w:sz w:val="28"/>
              </w:rPr>
            </w:pPr>
            <w:r w:rsidRPr="002D32F6">
              <w:rPr>
                <w:rFonts w:ascii="Times New Roman" w:eastAsia="Times New Roman" w:hAnsi="Times New Roman" w:cs="Times New Roman"/>
                <w:b/>
                <w:bCs/>
                <w:color w:val="000000"/>
                <w:sz w:val="28"/>
              </w:rPr>
              <w:t>QUESTIONS AND ANSWERS RELATED TO THE FINANCIAL ALLOCATION UNDER SECTION 1.3 OF THE GUIDELINES FOR APPLICANTS</w:t>
            </w:r>
          </w:p>
        </w:tc>
      </w:tr>
      <w:tr w:rsidR="000C5ECC" w:rsidRPr="00CB32F7" w14:paraId="0FFCCBE7" w14:textId="77777777" w:rsidTr="00915BC1">
        <w:tc>
          <w:tcPr>
            <w:tcW w:w="851" w:type="dxa"/>
            <w:shd w:val="clear" w:color="auto" w:fill="FFFFFF" w:themeFill="background1"/>
          </w:tcPr>
          <w:p w14:paraId="71DBEF2D" w14:textId="77777777" w:rsidR="000C5ECC" w:rsidRPr="00D91415" w:rsidRDefault="000C5ECC" w:rsidP="002D32F6">
            <w:pPr>
              <w:pStyle w:val="ListParagraph"/>
              <w:numPr>
                <w:ilvl w:val="0"/>
                <w:numId w:val="21"/>
              </w:numPr>
              <w:jc w:val="center"/>
              <w:rPr>
                <w:rFonts w:ascii="Times New Roman" w:eastAsia="Times New Roman" w:hAnsi="Times New Roman" w:cs="Times New Roman"/>
                <w:bCs/>
                <w:color w:val="000000"/>
              </w:rPr>
            </w:pPr>
          </w:p>
        </w:tc>
        <w:tc>
          <w:tcPr>
            <w:tcW w:w="6783" w:type="dxa"/>
            <w:shd w:val="clear" w:color="auto" w:fill="FFFFFF" w:themeFill="background1"/>
          </w:tcPr>
          <w:p w14:paraId="40A1010A" w14:textId="77777777" w:rsidR="008E32D0" w:rsidRDefault="008E32D0" w:rsidP="00EA59DA">
            <w:pPr>
              <w:jc w:val="both"/>
              <w:rPr>
                <w:rFonts w:ascii="Times New Roman" w:eastAsia="Times New Roman" w:hAnsi="Times New Roman" w:cs="Times New Roman"/>
                <w:bCs/>
                <w:color w:val="000000"/>
              </w:rPr>
            </w:pPr>
            <w:r w:rsidRPr="00B224A8">
              <w:rPr>
                <w:rFonts w:ascii="Times New Roman" w:eastAsia="Times New Roman" w:hAnsi="Times New Roman" w:cs="Times New Roman"/>
                <w:bCs/>
                <w:color w:val="000000"/>
              </w:rPr>
              <w:t>- Can a request for Euro 3 million be used in 01 sub-region only?</w:t>
            </w:r>
          </w:p>
          <w:p w14:paraId="1D78F667" w14:textId="77777777" w:rsidR="008E32D0" w:rsidRDefault="008E32D0" w:rsidP="00EA59DA">
            <w:pPr>
              <w:jc w:val="both"/>
              <w:rPr>
                <w:rFonts w:ascii="Times New Roman" w:eastAsia="Times New Roman" w:hAnsi="Times New Roman" w:cs="Times New Roman"/>
                <w:bCs/>
                <w:color w:val="000000"/>
              </w:rPr>
            </w:pPr>
          </w:p>
          <w:p w14:paraId="7BEE32A7" w14:textId="77777777" w:rsidR="00100780" w:rsidRDefault="00100780" w:rsidP="00EA59DA">
            <w:pPr>
              <w:jc w:val="both"/>
              <w:rPr>
                <w:rFonts w:ascii="Times New Roman" w:eastAsia="Times New Roman" w:hAnsi="Times New Roman" w:cs="Times New Roman"/>
                <w:bCs/>
                <w:color w:val="000000"/>
              </w:rPr>
            </w:pPr>
          </w:p>
          <w:p w14:paraId="1D737E25" w14:textId="7BB1C142" w:rsidR="000C5ECC" w:rsidRPr="00CB32F7" w:rsidRDefault="000C5ECC" w:rsidP="00EA59DA">
            <w:pPr>
              <w:jc w:val="both"/>
              <w:rPr>
                <w:rFonts w:ascii="Times New Roman" w:eastAsia="Times New Roman" w:hAnsi="Times New Roman" w:cs="Times New Roman"/>
                <w:bCs/>
                <w:color w:val="000000"/>
              </w:rPr>
            </w:pPr>
            <w:r w:rsidRPr="00CB32F7">
              <w:rPr>
                <w:rFonts w:ascii="Times New Roman" w:eastAsia="Times New Roman" w:hAnsi="Times New Roman" w:cs="Times New Roman"/>
                <w:bCs/>
                <w:color w:val="000000"/>
              </w:rPr>
              <w:t>- Is the maximum and minimum amount one can apply for determined at the level of the lead applicant, co-applicant or affiliates?</w:t>
            </w:r>
          </w:p>
        </w:tc>
        <w:tc>
          <w:tcPr>
            <w:tcW w:w="6776" w:type="dxa"/>
            <w:shd w:val="clear" w:color="auto" w:fill="FFFFFF" w:themeFill="background1"/>
          </w:tcPr>
          <w:p w14:paraId="45BDC9ED" w14:textId="2C3E3AAD" w:rsidR="008E32D0" w:rsidRDefault="008E32D0" w:rsidP="008E32D0">
            <w:pPr>
              <w:jc w:val="both"/>
              <w:rPr>
                <w:rFonts w:ascii="Times New Roman" w:eastAsia="Times New Roman" w:hAnsi="Times New Roman" w:cs="Times New Roman"/>
                <w:bCs/>
                <w:color w:val="000000"/>
              </w:rPr>
            </w:pPr>
            <w:r w:rsidRPr="007B53B8">
              <w:rPr>
                <w:rFonts w:ascii="Times New Roman" w:eastAsia="Times New Roman" w:hAnsi="Times New Roman" w:cs="Times New Roman"/>
                <w:bCs/>
                <w:color w:val="000000"/>
              </w:rPr>
              <w:t>Refer to section 1.3 of the Gu</w:t>
            </w:r>
            <w:r>
              <w:rPr>
                <w:rFonts w:ascii="Times New Roman" w:eastAsia="Times New Roman" w:hAnsi="Times New Roman" w:cs="Times New Roman"/>
                <w:bCs/>
                <w:color w:val="000000"/>
              </w:rPr>
              <w:t>idelines for Applicants, pages 9-10</w:t>
            </w:r>
            <w:r w:rsidR="00100780">
              <w:rPr>
                <w:rFonts w:ascii="Times New Roman" w:eastAsia="Times New Roman" w:hAnsi="Times New Roman" w:cs="Times New Roman"/>
                <w:bCs/>
                <w:color w:val="000000"/>
              </w:rPr>
              <w:t xml:space="preserve"> for the size of grants</w:t>
            </w:r>
            <w:r>
              <w:rPr>
                <w:rFonts w:ascii="Times New Roman" w:eastAsia="Times New Roman" w:hAnsi="Times New Roman" w:cs="Times New Roman"/>
                <w:bCs/>
                <w:color w:val="000000"/>
              </w:rPr>
              <w:t xml:space="preserve">. </w:t>
            </w:r>
          </w:p>
          <w:p w14:paraId="3091368A" w14:textId="77777777" w:rsidR="008E32D0" w:rsidRDefault="008E32D0" w:rsidP="008E32D0">
            <w:pPr>
              <w:jc w:val="both"/>
              <w:rPr>
                <w:rFonts w:ascii="Times New Roman" w:eastAsia="Times New Roman" w:hAnsi="Times New Roman" w:cs="Times New Roman"/>
                <w:bCs/>
                <w:color w:val="000000"/>
              </w:rPr>
            </w:pPr>
          </w:p>
          <w:p w14:paraId="72BB2163" w14:textId="15020D0D" w:rsidR="000C5ECC" w:rsidRPr="00CB32F7" w:rsidRDefault="000C5ECC" w:rsidP="008E32D0">
            <w:pPr>
              <w:jc w:val="both"/>
              <w:rPr>
                <w:rFonts w:ascii="Times New Roman" w:eastAsia="Times New Roman" w:hAnsi="Times New Roman" w:cs="Times New Roman"/>
                <w:bCs/>
                <w:color w:val="000000"/>
              </w:rPr>
            </w:pPr>
            <w:r w:rsidRPr="00CB32F7">
              <w:rPr>
                <w:rFonts w:ascii="Times New Roman" w:eastAsia="Times New Roman" w:hAnsi="Times New Roman" w:cs="Times New Roman"/>
                <w:bCs/>
                <w:color w:val="000000"/>
              </w:rPr>
              <w:t xml:space="preserve">The Call does not specify the minimum and maximum amount </w:t>
            </w:r>
            <w:r>
              <w:rPr>
                <w:rFonts w:ascii="Times New Roman" w:eastAsia="Times New Roman" w:hAnsi="Times New Roman" w:cs="Times New Roman"/>
                <w:bCs/>
                <w:color w:val="000000"/>
              </w:rPr>
              <w:t xml:space="preserve">for </w:t>
            </w:r>
            <w:r w:rsidRPr="00CB32F7">
              <w:rPr>
                <w:rFonts w:ascii="Times New Roman" w:eastAsia="Times New Roman" w:hAnsi="Times New Roman" w:cs="Times New Roman"/>
                <w:bCs/>
                <w:color w:val="000000"/>
              </w:rPr>
              <w:t xml:space="preserve">each of the partners within a consortium.  </w:t>
            </w:r>
          </w:p>
        </w:tc>
      </w:tr>
      <w:tr w:rsidR="000C5ECC" w:rsidRPr="00CB32F7" w14:paraId="1A2168C5" w14:textId="77777777" w:rsidTr="00915BC1">
        <w:tc>
          <w:tcPr>
            <w:tcW w:w="851" w:type="dxa"/>
            <w:shd w:val="clear" w:color="auto" w:fill="FFFFFF" w:themeFill="background1"/>
          </w:tcPr>
          <w:p w14:paraId="702716D6" w14:textId="77777777" w:rsidR="000C5ECC" w:rsidRPr="00D91415" w:rsidRDefault="000C5ECC" w:rsidP="002D32F6">
            <w:pPr>
              <w:pStyle w:val="ListParagraph"/>
              <w:numPr>
                <w:ilvl w:val="0"/>
                <w:numId w:val="21"/>
              </w:numPr>
              <w:jc w:val="center"/>
              <w:rPr>
                <w:rFonts w:ascii="Times New Roman" w:eastAsia="Times New Roman" w:hAnsi="Times New Roman" w:cs="Times New Roman"/>
                <w:bCs/>
                <w:color w:val="000000"/>
              </w:rPr>
            </w:pPr>
          </w:p>
        </w:tc>
        <w:tc>
          <w:tcPr>
            <w:tcW w:w="6783" w:type="dxa"/>
            <w:shd w:val="clear" w:color="auto" w:fill="FFFFFF" w:themeFill="background1"/>
          </w:tcPr>
          <w:p w14:paraId="26A3F93E" w14:textId="77777777" w:rsidR="000C5ECC" w:rsidRPr="00EF0B05" w:rsidRDefault="000C5ECC" w:rsidP="00EA59DA">
            <w:pPr>
              <w:jc w:val="both"/>
              <w:rPr>
                <w:rFonts w:ascii="Times New Roman" w:eastAsia="Times New Roman" w:hAnsi="Times New Roman" w:cs="Times New Roman"/>
                <w:bCs/>
              </w:rPr>
            </w:pPr>
            <w:r w:rsidRPr="00EF0B05">
              <w:rPr>
                <w:rFonts w:ascii="Times New Roman" w:eastAsia="Times New Roman" w:hAnsi="Times New Roman" w:cs="Times New Roman"/>
                <w:bCs/>
              </w:rPr>
              <w:t xml:space="preserve">- Since the 10-25% co-funding is not from EU funding or in-kind contributions what are the other financing options available? </w:t>
            </w:r>
          </w:p>
          <w:p w14:paraId="7B9D8FC5" w14:textId="77777777" w:rsidR="000C5ECC" w:rsidRPr="00EF0B05" w:rsidRDefault="000C5ECC" w:rsidP="00EA59DA">
            <w:pPr>
              <w:jc w:val="both"/>
              <w:rPr>
                <w:rFonts w:ascii="Times New Roman" w:eastAsia="Times New Roman" w:hAnsi="Times New Roman" w:cs="Times New Roman"/>
                <w:bCs/>
              </w:rPr>
            </w:pPr>
          </w:p>
          <w:p w14:paraId="66A16702" w14:textId="77777777" w:rsidR="000C5ECC" w:rsidRPr="00EF0B05" w:rsidRDefault="000C5ECC" w:rsidP="00EA59DA">
            <w:pPr>
              <w:jc w:val="both"/>
              <w:rPr>
                <w:rFonts w:ascii="Times New Roman" w:eastAsia="Times New Roman" w:hAnsi="Times New Roman" w:cs="Times New Roman"/>
                <w:bCs/>
              </w:rPr>
            </w:pPr>
            <w:r w:rsidRPr="00EF0B05">
              <w:rPr>
                <w:rFonts w:ascii="Times New Roman" w:eastAsia="Times New Roman" w:hAnsi="Times New Roman" w:cs="Times New Roman"/>
                <w:bCs/>
              </w:rPr>
              <w:t xml:space="preserve">- Is funding from the EU trust fund eligible as co-funding? </w:t>
            </w:r>
          </w:p>
          <w:p w14:paraId="58F9ADE3" w14:textId="77777777" w:rsidR="000C5ECC" w:rsidRPr="00EF0B05" w:rsidRDefault="000C5ECC" w:rsidP="00EA59DA">
            <w:pPr>
              <w:jc w:val="both"/>
              <w:rPr>
                <w:rFonts w:ascii="Times New Roman" w:eastAsia="Times New Roman" w:hAnsi="Times New Roman" w:cs="Times New Roman"/>
                <w:bCs/>
              </w:rPr>
            </w:pPr>
          </w:p>
          <w:p w14:paraId="7D90C876" w14:textId="77777777" w:rsidR="000C5ECC" w:rsidRPr="00EF0B05" w:rsidRDefault="000C5ECC" w:rsidP="00EA59DA">
            <w:pPr>
              <w:jc w:val="both"/>
              <w:rPr>
                <w:rFonts w:ascii="Times New Roman" w:eastAsia="Times New Roman" w:hAnsi="Times New Roman" w:cs="Times New Roman"/>
                <w:bCs/>
              </w:rPr>
            </w:pPr>
            <w:r w:rsidRPr="00EF0B05">
              <w:rPr>
                <w:rFonts w:ascii="Times New Roman" w:eastAsia="Times New Roman" w:hAnsi="Times New Roman" w:cs="Times New Roman"/>
                <w:bCs/>
              </w:rPr>
              <w:t xml:space="preserve">- Is it allowed to pick funds from another running project as co-financing </w:t>
            </w:r>
          </w:p>
          <w:p w14:paraId="36673F65" w14:textId="77777777" w:rsidR="000C5ECC" w:rsidRPr="00EF0B05" w:rsidRDefault="000C5ECC" w:rsidP="00EA59DA">
            <w:pPr>
              <w:jc w:val="both"/>
              <w:rPr>
                <w:rFonts w:ascii="Times New Roman" w:eastAsia="Times New Roman" w:hAnsi="Times New Roman" w:cs="Times New Roman"/>
                <w:bCs/>
              </w:rPr>
            </w:pPr>
          </w:p>
          <w:p w14:paraId="620963D4" w14:textId="77777777" w:rsidR="000C5ECC" w:rsidRPr="00EF0B05" w:rsidRDefault="000C5ECC" w:rsidP="00EA59DA">
            <w:pPr>
              <w:jc w:val="both"/>
              <w:rPr>
                <w:rFonts w:ascii="Times New Roman" w:eastAsia="Times New Roman" w:hAnsi="Times New Roman" w:cs="Times New Roman"/>
                <w:bCs/>
              </w:rPr>
            </w:pPr>
            <w:r w:rsidRPr="00EF0B05">
              <w:rPr>
                <w:rFonts w:ascii="Times New Roman" w:eastAsia="Times New Roman" w:hAnsi="Times New Roman" w:cs="Times New Roman"/>
                <w:bCs/>
              </w:rPr>
              <w:t>- Can one include a complementary action as co-funding so long as it is not from EDF?</w:t>
            </w:r>
          </w:p>
          <w:p w14:paraId="1ADE46D3" w14:textId="77777777" w:rsidR="004564BA" w:rsidRPr="00EF0B05" w:rsidRDefault="004564BA" w:rsidP="00EA59DA">
            <w:pPr>
              <w:jc w:val="both"/>
              <w:rPr>
                <w:rFonts w:ascii="Times New Roman" w:eastAsia="Times New Roman" w:hAnsi="Times New Roman" w:cs="Times New Roman"/>
                <w:bCs/>
              </w:rPr>
            </w:pPr>
          </w:p>
          <w:p w14:paraId="31F7C827" w14:textId="6D56D3F5" w:rsidR="004564BA" w:rsidRPr="00EF0B05" w:rsidRDefault="004564BA" w:rsidP="00EA59DA">
            <w:pPr>
              <w:jc w:val="both"/>
              <w:rPr>
                <w:rFonts w:ascii="Times New Roman" w:eastAsia="Times New Roman" w:hAnsi="Times New Roman" w:cs="Times New Roman"/>
                <w:bCs/>
              </w:rPr>
            </w:pPr>
            <w:r w:rsidRPr="00EF0B05">
              <w:rPr>
                <w:rFonts w:ascii="Times New Roman" w:eastAsia="Times New Roman" w:hAnsi="Times New Roman" w:cs="Times New Roman"/>
                <w:bCs/>
              </w:rPr>
              <w:t>- How will districts raise the co-funding if grants are awarded after the 2019/20 national budget, which has resource allocation to districts, has been approved?</w:t>
            </w:r>
          </w:p>
        </w:tc>
        <w:tc>
          <w:tcPr>
            <w:tcW w:w="6776" w:type="dxa"/>
            <w:shd w:val="clear" w:color="auto" w:fill="FFFFFF" w:themeFill="background1"/>
          </w:tcPr>
          <w:p w14:paraId="4D21673A" w14:textId="75DF5A0F" w:rsidR="004564BA" w:rsidRPr="00EF0B05" w:rsidRDefault="000C5ECC" w:rsidP="00EA59DA">
            <w:pPr>
              <w:jc w:val="both"/>
              <w:rPr>
                <w:rFonts w:ascii="Times New Roman" w:eastAsia="Times New Roman" w:hAnsi="Times New Roman" w:cs="Times New Roman"/>
                <w:bCs/>
              </w:rPr>
            </w:pPr>
            <w:r w:rsidRPr="00EF0B05">
              <w:rPr>
                <w:rFonts w:ascii="Times New Roman" w:eastAsia="Times New Roman" w:hAnsi="Times New Roman" w:cs="Times New Roman"/>
                <w:bCs/>
              </w:rPr>
              <w:t xml:space="preserve">As specified in section 1.3 of the Guidelines for Applicants, page 10, applicants are required to provide a co-financing of 10 to 25% from other sources than </w:t>
            </w:r>
            <w:r w:rsidR="008019E3">
              <w:rPr>
                <w:rFonts w:ascii="Times New Roman" w:eastAsia="Times New Roman" w:hAnsi="Times New Roman" w:cs="Times New Roman"/>
                <w:bCs/>
              </w:rPr>
              <w:t xml:space="preserve">the </w:t>
            </w:r>
            <w:r w:rsidRPr="00EF0B05">
              <w:rPr>
                <w:rFonts w:ascii="Times New Roman" w:eastAsia="Times New Roman" w:hAnsi="Times New Roman" w:cs="Times New Roman"/>
                <w:bCs/>
              </w:rPr>
              <w:t xml:space="preserve">European </w:t>
            </w:r>
            <w:r w:rsidR="00100780">
              <w:rPr>
                <w:rFonts w:ascii="Times New Roman" w:eastAsia="Times New Roman" w:hAnsi="Times New Roman" w:cs="Times New Roman"/>
                <w:bCs/>
              </w:rPr>
              <w:t>Union</w:t>
            </w:r>
            <w:r w:rsidR="008019E3">
              <w:rPr>
                <w:rFonts w:ascii="Times New Roman" w:eastAsia="Times New Roman" w:hAnsi="Times New Roman" w:cs="Times New Roman"/>
                <w:bCs/>
              </w:rPr>
              <w:t xml:space="preserve">, including funding from the </w:t>
            </w:r>
            <w:r w:rsidRPr="00EF0B05">
              <w:rPr>
                <w:rFonts w:ascii="Times New Roman" w:eastAsia="Times New Roman" w:hAnsi="Times New Roman" w:cs="Times New Roman"/>
                <w:bCs/>
              </w:rPr>
              <w:t xml:space="preserve">EU </w:t>
            </w:r>
            <w:r w:rsidR="008019E3">
              <w:rPr>
                <w:rFonts w:ascii="Times New Roman" w:eastAsia="Times New Roman" w:hAnsi="Times New Roman" w:cs="Times New Roman"/>
                <w:bCs/>
              </w:rPr>
              <w:t xml:space="preserve">Emergency </w:t>
            </w:r>
            <w:r w:rsidRPr="00EF0B05">
              <w:rPr>
                <w:rFonts w:ascii="Times New Roman" w:eastAsia="Times New Roman" w:hAnsi="Times New Roman" w:cs="Times New Roman"/>
                <w:bCs/>
              </w:rPr>
              <w:t>Trust Fund</w:t>
            </w:r>
            <w:r w:rsidR="008019E3">
              <w:rPr>
                <w:rFonts w:ascii="Times New Roman" w:eastAsia="Times New Roman" w:hAnsi="Times New Roman" w:cs="Times New Roman"/>
                <w:bCs/>
              </w:rPr>
              <w:t xml:space="preserve"> for Africa</w:t>
            </w:r>
            <w:r w:rsidRPr="00EF0B05">
              <w:rPr>
                <w:rFonts w:ascii="Times New Roman" w:eastAsia="Times New Roman" w:hAnsi="Times New Roman" w:cs="Times New Roman"/>
                <w:bCs/>
              </w:rPr>
              <w:t xml:space="preserve">. </w:t>
            </w:r>
          </w:p>
          <w:p w14:paraId="6F726EB0" w14:textId="77777777" w:rsidR="004564BA" w:rsidRPr="00EF0B05" w:rsidRDefault="004564BA" w:rsidP="00EA59DA">
            <w:pPr>
              <w:jc w:val="both"/>
              <w:rPr>
                <w:rFonts w:ascii="Times New Roman" w:eastAsia="Times New Roman" w:hAnsi="Times New Roman" w:cs="Times New Roman"/>
                <w:bCs/>
              </w:rPr>
            </w:pPr>
          </w:p>
          <w:p w14:paraId="09C65E6E" w14:textId="6C3D9E62" w:rsidR="000C5ECC" w:rsidRPr="00EF0B05" w:rsidRDefault="004564BA" w:rsidP="00EA59DA">
            <w:pPr>
              <w:jc w:val="both"/>
              <w:rPr>
                <w:rFonts w:ascii="Times New Roman" w:eastAsia="Times New Roman" w:hAnsi="Times New Roman" w:cs="Times New Roman"/>
                <w:bCs/>
              </w:rPr>
            </w:pPr>
            <w:r w:rsidRPr="00EF0B05">
              <w:rPr>
                <w:rFonts w:ascii="Times New Roman" w:eastAsia="Times New Roman" w:hAnsi="Times New Roman" w:cs="Times New Roman"/>
                <w:bCs/>
              </w:rPr>
              <w:t>A</w:t>
            </w:r>
            <w:r w:rsidR="000C5ECC" w:rsidRPr="00EF0B05">
              <w:rPr>
                <w:rFonts w:ascii="Times New Roman" w:eastAsia="Times New Roman" w:hAnsi="Times New Roman" w:cs="Times New Roman"/>
                <w:bCs/>
              </w:rPr>
              <w:t xml:space="preserve">pplicants should use their own resources or funding from another donor, if these resources contribute to cover the expenditures of the action. </w:t>
            </w:r>
          </w:p>
        </w:tc>
      </w:tr>
      <w:tr w:rsidR="008E32D0" w:rsidRPr="00914BD3" w14:paraId="5A8ACE87" w14:textId="77777777" w:rsidTr="00915BC1">
        <w:tc>
          <w:tcPr>
            <w:tcW w:w="851" w:type="dxa"/>
            <w:shd w:val="clear" w:color="auto" w:fill="FFFFFF" w:themeFill="background1"/>
          </w:tcPr>
          <w:p w14:paraId="34E4BCFA" w14:textId="77777777" w:rsidR="008E32D0" w:rsidRPr="00914BD3" w:rsidRDefault="008E32D0" w:rsidP="002D32F6">
            <w:pPr>
              <w:pStyle w:val="ListParagraph"/>
              <w:numPr>
                <w:ilvl w:val="0"/>
                <w:numId w:val="21"/>
              </w:numPr>
              <w:jc w:val="center"/>
              <w:rPr>
                <w:rFonts w:ascii="Times New Roman" w:eastAsia="Times New Roman" w:hAnsi="Times New Roman" w:cs="Times New Roman"/>
                <w:bCs/>
                <w:color w:val="000000"/>
              </w:rPr>
            </w:pPr>
          </w:p>
        </w:tc>
        <w:tc>
          <w:tcPr>
            <w:tcW w:w="6783" w:type="dxa"/>
            <w:shd w:val="clear" w:color="auto" w:fill="FFFFFF" w:themeFill="background1"/>
          </w:tcPr>
          <w:p w14:paraId="033BBA14" w14:textId="77777777" w:rsidR="009533E8" w:rsidRDefault="008E32D0" w:rsidP="002D32F6">
            <w:pPr>
              <w:ind w:left="-54"/>
              <w:jc w:val="both"/>
              <w:rPr>
                <w:rFonts w:ascii="Times New Roman" w:eastAsia="Times New Roman" w:hAnsi="Times New Roman" w:cs="Times New Roman"/>
                <w:bCs/>
                <w:color w:val="000000"/>
              </w:rPr>
            </w:pPr>
            <w:r w:rsidRPr="00CB32F7">
              <w:rPr>
                <w:rFonts w:ascii="Times New Roman" w:eastAsia="Times New Roman" w:hAnsi="Times New Roman" w:cs="Times New Roman"/>
                <w:bCs/>
                <w:color w:val="000000"/>
              </w:rPr>
              <w:t>- Is there any condition under which in kind</w:t>
            </w:r>
            <w:r w:rsidR="009533E8">
              <w:rPr>
                <w:rFonts w:ascii="Times New Roman" w:eastAsia="Times New Roman" w:hAnsi="Times New Roman" w:cs="Times New Roman"/>
                <w:bCs/>
                <w:color w:val="000000"/>
              </w:rPr>
              <w:t xml:space="preserve"> contribution can be accepted? </w:t>
            </w:r>
          </w:p>
          <w:p w14:paraId="10B09199" w14:textId="77777777" w:rsidR="009533E8" w:rsidRDefault="009533E8" w:rsidP="002D32F6">
            <w:pPr>
              <w:ind w:left="-54"/>
              <w:jc w:val="both"/>
              <w:rPr>
                <w:rFonts w:ascii="Times New Roman" w:eastAsia="Times New Roman" w:hAnsi="Times New Roman" w:cs="Times New Roman"/>
                <w:bCs/>
                <w:color w:val="000000"/>
              </w:rPr>
            </w:pPr>
          </w:p>
          <w:p w14:paraId="57553F15" w14:textId="77777777" w:rsidR="009533E8" w:rsidRDefault="008E32D0" w:rsidP="002D32F6">
            <w:pPr>
              <w:ind w:left="-54"/>
              <w:jc w:val="both"/>
              <w:rPr>
                <w:rFonts w:ascii="Times New Roman" w:eastAsia="Times New Roman" w:hAnsi="Times New Roman" w:cs="Times New Roman"/>
                <w:bCs/>
                <w:color w:val="000000"/>
              </w:rPr>
            </w:pPr>
            <w:r w:rsidRPr="00CB32F7">
              <w:rPr>
                <w:rFonts w:ascii="Times New Roman" w:eastAsia="Times New Roman" w:hAnsi="Times New Roman" w:cs="Times New Roman"/>
                <w:bCs/>
                <w:color w:val="000000"/>
              </w:rPr>
              <w:t xml:space="preserve">- Can you clarify when you state that “in kind contributions may not be considered”? </w:t>
            </w:r>
          </w:p>
          <w:p w14:paraId="7761FC21" w14:textId="77777777" w:rsidR="009533E8" w:rsidRDefault="009533E8" w:rsidP="002D32F6">
            <w:pPr>
              <w:ind w:left="-54"/>
              <w:jc w:val="both"/>
              <w:rPr>
                <w:rFonts w:ascii="Times New Roman" w:eastAsia="Times New Roman" w:hAnsi="Times New Roman" w:cs="Times New Roman"/>
                <w:bCs/>
                <w:color w:val="000000"/>
              </w:rPr>
            </w:pPr>
          </w:p>
          <w:p w14:paraId="52A6A159" w14:textId="7C61EA8F" w:rsidR="008E32D0" w:rsidRPr="00CB32F7" w:rsidRDefault="008E32D0" w:rsidP="002D32F6">
            <w:pPr>
              <w:ind w:left="-54"/>
              <w:jc w:val="both"/>
              <w:rPr>
                <w:rFonts w:ascii="Times New Roman" w:eastAsia="Times New Roman" w:hAnsi="Times New Roman" w:cs="Times New Roman"/>
                <w:bCs/>
                <w:color w:val="000000"/>
              </w:rPr>
            </w:pPr>
            <w:r w:rsidRPr="00CB32F7">
              <w:rPr>
                <w:rFonts w:ascii="Times New Roman" w:eastAsia="Times New Roman" w:hAnsi="Times New Roman" w:cs="Times New Roman"/>
                <w:bCs/>
                <w:color w:val="000000"/>
              </w:rPr>
              <w:t>- Since in-kind contributions are not eligible costs, does it mean that the co-financing of between 10-25% must be in cash?</w:t>
            </w:r>
          </w:p>
        </w:tc>
        <w:tc>
          <w:tcPr>
            <w:tcW w:w="6776" w:type="dxa"/>
            <w:shd w:val="clear" w:color="auto" w:fill="FFFFFF" w:themeFill="background1"/>
          </w:tcPr>
          <w:p w14:paraId="5D88BF4D" w14:textId="77777777" w:rsidR="008E32D0" w:rsidRDefault="008E32D0" w:rsidP="00EA59DA">
            <w:pPr>
              <w:ind w:left="-54"/>
              <w:jc w:val="both"/>
              <w:rPr>
                <w:rFonts w:ascii="Times New Roman" w:eastAsia="Times New Roman" w:hAnsi="Times New Roman" w:cs="Times New Roman"/>
                <w:bCs/>
                <w:color w:val="000000"/>
              </w:rPr>
            </w:pPr>
            <w:r w:rsidRPr="00CB32F7">
              <w:rPr>
                <w:rFonts w:ascii="Times New Roman" w:eastAsia="Times New Roman" w:hAnsi="Times New Roman" w:cs="Times New Roman"/>
                <w:bCs/>
                <w:color w:val="000000"/>
              </w:rPr>
              <w:t xml:space="preserve">In kind contributions cannot be treated as co-financing as specified in section 2.1.5 of the Guidelines for Applicants, page 18. </w:t>
            </w:r>
          </w:p>
          <w:p w14:paraId="621FE35C" w14:textId="77777777" w:rsidR="008E32D0" w:rsidRDefault="008E32D0" w:rsidP="00EA59DA">
            <w:pPr>
              <w:ind w:left="-54"/>
              <w:jc w:val="both"/>
              <w:rPr>
                <w:rFonts w:ascii="Times New Roman" w:eastAsia="Times New Roman" w:hAnsi="Times New Roman" w:cs="Times New Roman"/>
                <w:bCs/>
                <w:color w:val="000000"/>
              </w:rPr>
            </w:pPr>
          </w:p>
          <w:p w14:paraId="7C6219F5" w14:textId="77777777" w:rsidR="008E32D0" w:rsidRPr="00CB32F7" w:rsidRDefault="008E32D0" w:rsidP="00EA59DA">
            <w:pPr>
              <w:ind w:left="-54"/>
              <w:jc w:val="both"/>
              <w:rPr>
                <w:rFonts w:ascii="Times New Roman" w:eastAsia="Times New Roman" w:hAnsi="Times New Roman" w:cs="Times New Roman"/>
                <w:bCs/>
                <w:color w:val="000000"/>
              </w:rPr>
            </w:pPr>
            <w:r w:rsidRPr="00CB32F7">
              <w:rPr>
                <w:rFonts w:ascii="Times New Roman" w:eastAsia="Times New Roman" w:hAnsi="Times New Roman" w:cs="Times New Roman"/>
                <w:bCs/>
                <w:color w:val="000000"/>
              </w:rPr>
              <w:t>The resources treated as co-financing should contribute to cover the expenditures of the action.</w:t>
            </w:r>
          </w:p>
        </w:tc>
      </w:tr>
      <w:tr w:rsidR="00BB0FC0" w:rsidRPr="00914BD3" w14:paraId="1A7D8B4B" w14:textId="77777777" w:rsidTr="00915BC1">
        <w:tc>
          <w:tcPr>
            <w:tcW w:w="851" w:type="dxa"/>
            <w:shd w:val="clear" w:color="auto" w:fill="FFFFFF" w:themeFill="background1"/>
          </w:tcPr>
          <w:p w14:paraId="7A30DBB6" w14:textId="77777777" w:rsidR="00BB0FC0" w:rsidRPr="00914BD3" w:rsidRDefault="00BB0FC0" w:rsidP="002D32F6">
            <w:pPr>
              <w:pStyle w:val="ListParagraph"/>
              <w:numPr>
                <w:ilvl w:val="0"/>
                <w:numId w:val="21"/>
              </w:numPr>
              <w:jc w:val="center"/>
              <w:rPr>
                <w:rFonts w:ascii="Times New Roman" w:eastAsia="Times New Roman" w:hAnsi="Times New Roman" w:cs="Times New Roman"/>
                <w:bCs/>
                <w:color w:val="000000"/>
              </w:rPr>
            </w:pPr>
          </w:p>
        </w:tc>
        <w:tc>
          <w:tcPr>
            <w:tcW w:w="6783" w:type="dxa"/>
            <w:shd w:val="clear" w:color="auto" w:fill="FFFFFF" w:themeFill="background1"/>
          </w:tcPr>
          <w:p w14:paraId="3F69DF0F" w14:textId="77777777" w:rsidR="00BB0FC0" w:rsidRDefault="00BB0FC0" w:rsidP="00EA59DA">
            <w:pPr>
              <w:ind w:left="-54"/>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w:t>
            </w:r>
            <w:r w:rsidRPr="0082637F">
              <w:rPr>
                <w:rFonts w:ascii="Times New Roman" w:eastAsia="Times New Roman" w:hAnsi="Times New Roman" w:cs="Times New Roman"/>
                <w:bCs/>
                <w:color w:val="000000"/>
              </w:rPr>
              <w:t>The scoping study allocated EUR 500,000 towards the nutrition component. Could you clarify on the budget amount for nutrition under this Call and the balance between the other two results</w:t>
            </w:r>
            <w:r w:rsidRPr="00FA1C7C">
              <w:rPr>
                <w:rFonts w:ascii="Times New Roman" w:eastAsia="Times New Roman" w:hAnsi="Times New Roman" w:cs="Times New Roman"/>
                <w:bCs/>
                <w:color w:val="000000"/>
              </w:rPr>
              <w:t xml:space="preserve"> </w:t>
            </w:r>
          </w:p>
          <w:p w14:paraId="5B9F2BB9" w14:textId="77777777" w:rsidR="00BB0FC0" w:rsidRDefault="00BB0FC0" w:rsidP="00EA59DA">
            <w:pPr>
              <w:ind w:left="-54"/>
              <w:jc w:val="both"/>
              <w:rPr>
                <w:rFonts w:ascii="Times New Roman" w:eastAsia="Times New Roman" w:hAnsi="Times New Roman" w:cs="Times New Roman"/>
                <w:bCs/>
                <w:color w:val="000000"/>
              </w:rPr>
            </w:pPr>
          </w:p>
          <w:p w14:paraId="045D39EB" w14:textId="77777777" w:rsidR="00BB0FC0" w:rsidRDefault="00BB0FC0" w:rsidP="00EA59DA">
            <w:pPr>
              <w:ind w:left="-54"/>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w:t>
            </w:r>
            <w:r w:rsidRPr="00FA1C7C">
              <w:rPr>
                <w:rFonts w:ascii="Times New Roman" w:eastAsia="Times New Roman" w:hAnsi="Times New Roman" w:cs="Times New Roman"/>
                <w:bCs/>
                <w:color w:val="000000"/>
              </w:rPr>
              <w:t>Is the budget f</w:t>
            </w:r>
            <w:r>
              <w:rPr>
                <w:rFonts w:ascii="Times New Roman" w:eastAsia="Times New Roman" w:hAnsi="Times New Roman" w:cs="Times New Roman"/>
                <w:bCs/>
                <w:color w:val="000000"/>
              </w:rPr>
              <w:t>or nutrition under activity 1.</w:t>
            </w:r>
            <w:r w:rsidRPr="00FA1C7C">
              <w:rPr>
                <w:rFonts w:ascii="Times New Roman" w:eastAsia="Times New Roman" w:hAnsi="Times New Roman" w:cs="Times New Roman"/>
                <w:bCs/>
                <w:color w:val="000000"/>
              </w:rPr>
              <w:t>1</w:t>
            </w:r>
            <w:r>
              <w:rPr>
                <w:rFonts w:ascii="Times New Roman" w:eastAsia="Times New Roman" w:hAnsi="Times New Roman" w:cs="Times New Roman"/>
                <w:bCs/>
                <w:color w:val="000000"/>
              </w:rPr>
              <w:t>.3</w:t>
            </w:r>
            <w:r w:rsidRPr="00FA1C7C">
              <w:rPr>
                <w:rFonts w:ascii="Times New Roman" w:eastAsia="Times New Roman" w:hAnsi="Times New Roman" w:cs="Times New Roman"/>
                <w:bCs/>
                <w:color w:val="000000"/>
              </w:rPr>
              <w:t xml:space="preserve"> capped at Euro 500,000?</w:t>
            </w:r>
          </w:p>
          <w:p w14:paraId="2DEBAF18" w14:textId="77777777" w:rsidR="00822D36" w:rsidRDefault="00822D36" w:rsidP="00EA59DA">
            <w:pPr>
              <w:ind w:left="-54"/>
              <w:jc w:val="both"/>
              <w:rPr>
                <w:rFonts w:ascii="Times New Roman" w:eastAsia="Times New Roman" w:hAnsi="Times New Roman" w:cs="Times New Roman"/>
                <w:bCs/>
                <w:color w:val="000000"/>
              </w:rPr>
            </w:pPr>
          </w:p>
          <w:p w14:paraId="07839A75" w14:textId="585866F8" w:rsidR="00BB0FC0" w:rsidRDefault="00822D36" w:rsidP="002D32F6">
            <w:pPr>
              <w:ind w:left="-54"/>
              <w:jc w:val="both"/>
              <w:rPr>
                <w:rFonts w:ascii="Times New Roman" w:eastAsia="Times New Roman" w:hAnsi="Times New Roman" w:cs="Times New Roman"/>
                <w:bCs/>
                <w:color w:val="000000"/>
              </w:rPr>
            </w:pPr>
            <w:r w:rsidRPr="00CB32F7">
              <w:rPr>
                <w:rFonts w:ascii="Times New Roman" w:eastAsia="Times New Roman" w:hAnsi="Times New Roman" w:cs="Times New Roman"/>
                <w:bCs/>
                <w:color w:val="000000"/>
              </w:rPr>
              <w:t>- Does the programme consider the population in the region when allocating resources to a cluster?</w:t>
            </w:r>
          </w:p>
        </w:tc>
        <w:tc>
          <w:tcPr>
            <w:tcW w:w="6776" w:type="dxa"/>
            <w:shd w:val="clear" w:color="auto" w:fill="FFFFFF" w:themeFill="background1"/>
          </w:tcPr>
          <w:p w14:paraId="5EC922D0" w14:textId="4522A3E4" w:rsidR="00BB0FC0" w:rsidRDefault="00BB0FC0" w:rsidP="00EA59DA">
            <w:pPr>
              <w:jc w:val="both"/>
              <w:rPr>
                <w:rFonts w:ascii="Times New Roman" w:eastAsia="Times New Roman" w:hAnsi="Times New Roman" w:cs="Times New Roman"/>
                <w:bCs/>
                <w:color w:val="000000"/>
              </w:rPr>
            </w:pPr>
            <w:r w:rsidRPr="00E05916">
              <w:rPr>
                <w:rFonts w:ascii="Times New Roman" w:eastAsia="Times New Roman" w:hAnsi="Times New Roman" w:cs="Times New Roman"/>
                <w:bCs/>
                <w:color w:val="000000"/>
              </w:rPr>
              <w:t>The amount</w:t>
            </w:r>
            <w:r w:rsidR="00822D36">
              <w:rPr>
                <w:rFonts w:ascii="Times New Roman" w:eastAsia="Times New Roman" w:hAnsi="Times New Roman" w:cs="Times New Roman"/>
                <w:bCs/>
                <w:color w:val="000000"/>
              </w:rPr>
              <w:t>s</w:t>
            </w:r>
            <w:r w:rsidRPr="00E05916">
              <w:rPr>
                <w:rFonts w:ascii="Times New Roman" w:eastAsia="Times New Roman" w:hAnsi="Times New Roman" w:cs="Times New Roman"/>
                <w:bCs/>
                <w:color w:val="000000"/>
              </w:rPr>
              <w:t xml:space="preserve"> in t</w:t>
            </w:r>
            <w:r w:rsidR="00822D36">
              <w:rPr>
                <w:rFonts w:ascii="Times New Roman" w:eastAsia="Times New Roman" w:hAnsi="Times New Roman" w:cs="Times New Roman"/>
                <w:bCs/>
                <w:color w:val="000000"/>
              </w:rPr>
              <w:t>he Scoping Study were</w:t>
            </w:r>
            <w:r w:rsidRPr="00E05916">
              <w:rPr>
                <w:rFonts w:ascii="Times New Roman" w:eastAsia="Times New Roman" w:hAnsi="Times New Roman" w:cs="Times New Roman"/>
                <w:bCs/>
                <w:color w:val="000000"/>
              </w:rPr>
              <w:t xml:space="preserve"> indicative. The budget allocation of seven activities under the three result areas of Lot 1 is to be determined by the applicant in the proposed action.</w:t>
            </w:r>
            <w:r>
              <w:rPr>
                <w:rFonts w:ascii="Times New Roman" w:eastAsia="Times New Roman" w:hAnsi="Times New Roman" w:cs="Times New Roman"/>
                <w:bCs/>
                <w:color w:val="000000"/>
              </w:rPr>
              <w:t xml:space="preserve"> </w:t>
            </w:r>
          </w:p>
          <w:p w14:paraId="65497B1F" w14:textId="77777777" w:rsidR="00BB0FC0" w:rsidRDefault="00BB0FC0" w:rsidP="00EA59DA">
            <w:pPr>
              <w:jc w:val="both"/>
              <w:rPr>
                <w:rFonts w:ascii="Times New Roman" w:eastAsia="Times New Roman" w:hAnsi="Times New Roman" w:cs="Times New Roman"/>
                <w:bCs/>
                <w:color w:val="000000"/>
              </w:rPr>
            </w:pPr>
          </w:p>
          <w:p w14:paraId="4F05543D" w14:textId="2D5E0024" w:rsidR="00BB0FC0" w:rsidRPr="00550BF1" w:rsidRDefault="00822D36" w:rsidP="00822D36">
            <w:pPr>
              <w:ind w:left="-54"/>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There is no prior allocation of resources to clusters/districts/sub-regions for this Call. </w:t>
            </w:r>
            <w:r>
              <w:rPr>
                <w:rFonts w:ascii="Times New Roman" w:hAnsi="Times New Roman" w:cs="Times New Roman"/>
              </w:rPr>
              <w:t>Applicants should make their own assessment of the situation.</w:t>
            </w:r>
          </w:p>
        </w:tc>
      </w:tr>
      <w:tr w:rsidR="00BB0FC0" w:rsidRPr="00914BD3" w14:paraId="460F1255" w14:textId="77777777" w:rsidTr="00915BC1">
        <w:tc>
          <w:tcPr>
            <w:tcW w:w="851" w:type="dxa"/>
            <w:shd w:val="clear" w:color="auto" w:fill="FFFFFF" w:themeFill="background1"/>
          </w:tcPr>
          <w:p w14:paraId="5D557BA2" w14:textId="77777777" w:rsidR="00BB0FC0" w:rsidRPr="00914BD3" w:rsidRDefault="00BB0FC0" w:rsidP="002D32F6">
            <w:pPr>
              <w:pStyle w:val="ListParagraph"/>
              <w:numPr>
                <w:ilvl w:val="0"/>
                <w:numId w:val="21"/>
              </w:numPr>
              <w:jc w:val="center"/>
              <w:rPr>
                <w:rFonts w:ascii="Times New Roman" w:eastAsia="Times New Roman" w:hAnsi="Times New Roman" w:cs="Times New Roman"/>
                <w:bCs/>
                <w:color w:val="000000"/>
              </w:rPr>
            </w:pPr>
          </w:p>
        </w:tc>
        <w:tc>
          <w:tcPr>
            <w:tcW w:w="6783" w:type="dxa"/>
            <w:shd w:val="clear" w:color="auto" w:fill="FFFFFF" w:themeFill="background1"/>
          </w:tcPr>
          <w:p w14:paraId="3374E951" w14:textId="77777777" w:rsidR="00BB0FC0" w:rsidRDefault="00BB0FC0" w:rsidP="00EA59DA">
            <w:pPr>
              <w:ind w:left="-54"/>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w:t>
            </w:r>
            <w:r w:rsidRPr="00276C28">
              <w:rPr>
                <w:rFonts w:ascii="Times New Roman" w:eastAsia="Times New Roman" w:hAnsi="Times New Roman" w:cs="Times New Roman"/>
                <w:bCs/>
                <w:color w:val="000000"/>
              </w:rPr>
              <w:t>Is the applicant permitted to budget for infrastructure activities under the DINU project? If so, is there a preference for the budget to allocate?</w:t>
            </w:r>
          </w:p>
          <w:p w14:paraId="27279EBF" w14:textId="77777777" w:rsidR="00BB0FC0" w:rsidRDefault="00BB0FC0" w:rsidP="00EA59DA">
            <w:pPr>
              <w:ind w:left="-54"/>
              <w:jc w:val="both"/>
              <w:rPr>
                <w:rFonts w:ascii="Times New Roman" w:eastAsia="Times New Roman" w:hAnsi="Times New Roman" w:cs="Times New Roman"/>
                <w:bCs/>
                <w:color w:val="000000"/>
              </w:rPr>
            </w:pPr>
          </w:p>
          <w:p w14:paraId="7C8DB766" w14:textId="5BC4B057" w:rsidR="00BB0FC0" w:rsidRDefault="00BB0FC0" w:rsidP="00EA59DA">
            <w:pPr>
              <w:ind w:left="-54"/>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w:t>
            </w:r>
            <w:r w:rsidRPr="00361C96">
              <w:rPr>
                <w:rFonts w:ascii="Times New Roman" w:eastAsia="Times New Roman" w:hAnsi="Times New Roman" w:cs="Times New Roman"/>
                <w:bCs/>
                <w:color w:val="000000"/>
              </w:rPr>
              <w:t>Must the balance of software and hardware</w:t>
            </w:r>
            <w:r w:rsidR="00030292">
              <w:rPr>
                <w:rFonts w:ascii="Times New Roman" w:eastAsia="Times New Roman" w:hAnsi="Times New Roman" w:cs="Times New Roman"/>
                <w:bCs/>
                <w:color w:val="000000"/>
              </w:rPr>
              <w:t>,</w:t>
            </w:r>
            <w:r w:rsidRPr="00361C96">
              <w:rPr>
                <w:rFonts w:ascii="Times New Roman" w:eastAsia="Times New Roman" w:hAnsi="Times New Roman" w:cs="Times New Roman"/>
                <w:bCs/>
                <w:color w:val="000000"/>
              </w:rPr>
              <w:t xml:space="preserve"> required under specific consideration for balanc</w:t>
            </w:r>
            <w:r w:rsidR="00030292">
              <w:rPr>
                <w:rFonts w:ascii="Times New Roman" w:eastAsia="Times New Roman" w:hAnsi="Times New Roman" w:cs="Times New Roman"/>
                <w:bCs/>
                <w:color w:val="000000"/>
              </w:rPr>
              <w:t>ing the investments under Lot 1,</w:t>
            </w:r>
            <w:r w:rsidRPr="00361C96">
              <w:rPr>
                <w:rFonts w:ascii="Times New Roman" w:eastAsia="Times New Roman" w:hAnsi="Times New Roman" w:cs="Times New Roman"/>
                <w:bCs/>
                <w:color w:val="000000"/>
              </w:rPr>
              <w:t xml:space="preserve"> be equal (50/50) or it can vary in any way?</w:t>
            </w:r>
          </w:p>
          <w:p w14:paraId="63C1CD65" w14:textId="77777777" w:rsidR="00BB0FC0" w:rsidRDefault="00BB0FC0" w:rsidP="00EA59DA">
            <w:pPr>
              <w:ind w:left="-54"/>
              <w:jc w:val="both"/>
              <w:rPr>
                <w:rFonts w:ascii="Times New Roman" w:eastAsia="Times New Roman" w:hAnsi="Times New Roman" w:cs="Times New Roman"/>
                <w:bCs/>
                <w:color w:val="000000"/>
              </w:rPr>
            </w:pPr>
          </w:p>
        </w:tc>
        <w:tc>
          <w:tcPr>
            <w:tcW w:w="6776" w:type="dxa"/>
            <w:shd w:val="clear" w:color="auto" w:fill="FFFFFF" w:themeFill="background1"/>
          </w:tcPr>
          <w:p w14:paraId="1CF199F3" w14:textId="77777777" w:rsidR="00BB0FC0" w:rsidRDefault="00BB0FC0" w:rsidP="00EA59DA">
            <w:pPr>
              <w:ind w:left="-54"/>
              <w:jc w:val="both"/>
              <w:rPr>
                <w:rFonts w:ascii="Times New Roman" w:eastAsia="Times New Roman" w:hAnsi="Times New Roman" w:cs="Times New Roman"/>
                <w:bCs/>
                <w:color w:val="000000"/>
              </w:rPr>
            </w:pPr>
            <w:r w:rsidRPr="00CB32F7">
              <w:rPr>
                <w:rFonts w:ascii="Times New Roman" w:eastAsia="Times New Roman" w:hAnsi="Times New Roman" w:cs="Times New Roman"/>
                <w:bCs/>
                <w:color w:val="000000"/>
              </w:rPr>
              <w:t xml:space="preserve">The proposed activities should be based on an assessment of the situation and of the needs made by the applicants.  </w:t>
            </w:r>
          </w:p>
          <w:p w14:paraId="7BABB539" w14:textId="77777777" w:rsidR="00BB0FC0" w:rsidRDefault="00BB0FC0" w:rsidP="00EA59DA">
            <w:pPr>
              <w:ind w:left="-54"/>
              <w:jc w:val="both"/>
              <w:rPr>
                <w:rFonts w:ascii="Times New Roman" w:eastAsia="Times New Roman" w:hAnsi="Times New Roman" w:cs="Times New Roman"/>
                <w:bCs/>
                <w:color w:val="000000"/>
              </w:rPr>
            </w:pPr>
          </w:p>
          <w:p w14:paraId="321AB7EF" w14:textId="36624BD6" w:rsidR="00BB0FC0" w:rsidRPr="00E05916" w:rsidRDefault="00BB0FC0" w:rsidP="002D32F6">
            <w:pPr>
              <w:jc w:val="both"/>
              <w:rPr>
                <w:rFonts w:ascii="Times New Roman" w:eastAsia="Times New Roman" w:hAnsi="Times New Roman" w:cs="Times New Roman"/>
                <w:bCs/>
                <w:color w:val="000000"/>
              </w:rPr>
            </w:pPr>
            <w:r w:rsidRPr="000B0C6A">
              <w:rPr>
                <w:rFonts w:ascii="Times New Roman" w:eastAsia="Times New Roman" w:hAnsi="Times New Roman" w:cs="Times New Roman"/>
                <w:bCs/>
                <w:color w:val="000000"/>
              </w:rPr>
              <w:t xml:space="preserve">The balance between hardware </w:t>
            </w:r>
            <w:r>
              <w:rPr>
                <w:rFonts w:ascii="Times New Roman" w:eastAsia="Times New Roman" w:hAnsi="Times New Roman" w:cs="Times New Roman"/>
                <w:bCs/>
                <w:color w:val="000000"/>
              </w:rPr>
              <w:t xml:space="preserve">(tangible and physical outputs) </w:t>
            </w:r>
            <w:r w:rsidRPr="000B0C6A">
              <w:rPr>
                <w:rFonts w:ascii="Times New Roman" w:eastAsia="Times New Roman" w:hAnsi="Times New Roman" w:cs="Times New Roman"/>
                <w:bCs/>
                <w:color w:val="000000"/>
              </w:rPr>
              <w:t xml:space="preserve">and software </w:t>
            </w:r>
            <w:r>
              <w:rPr>
                <w:rFonts w:ascii="Times New Roman" w:eastAsia="Times New Roman" w:hAnsi="Times New Roman" w:cs="Times New Roman"/>
                <w:bCs/>
                <w:color w:val="000000"/>
              </w:rPr>
              <w:t xml:space="preserve">(training and capacity building) </w:t>
            </w:r>
            <w:r w:rsidRPr="000B0C6A">
              <w:rPr>
                <w:rFonts w:ascii="Times New Roman" w:eastAsia="Times New Roman" w:hAnsi="Times New Roman" w:cs="Times New Roman"/>
                <w:bCs/>
                <w:color w:val="000000"/>
              </w:rPr>
              <w:t>under Lot 1 is to be determined and justified by the applicant in th</w:t>
            </w:r>
            <w:r>
              <w:rPr>
                <w:rFonts w:ascii="Times New Roman" w:eastAsia="Times New Roman" w:hAnsi="Times New Roman" w:cs="Times New Roman"/>
                <w:bCs/>
                <w:color w:val="000000"/>
              </w:rPr>
              <w:t>e proposed action, as specified under the</w:t>
            </w:r>
            <w:r w:rsidRPr="000B0C6A">
              <w:rPr>
                <w:rFonts w:ascii="Times New Roman" w:eastAsia="Times New Roman" w:hAnsi="Times New Roman" w:cs="Times New Roman"/>
                <w:bCs/>
                <w:color w:val="000000"/>
              </w:rPr>
              <w:t xml:space="preserve"> specific consideration</w:t>
            </w:r>
            <w:r>
              <w:rPr>
                <w:rFonts w:ascii="Times New Roman" w:eastAsia="Times New Roman" w:hAnsi="Times New Roman" w:cs="Times New Roman"/>
                <w:bCs/>
                <w:color w:val="000000"/>
              </w:rPr>
              <w:t>s for Lot 1 in section 2.1 of the Guidelines for Applicants, page 8.</w:t>
            </w:r>
          </w:p>
        </w:tc>
      </w:tr>
      <w:tr w:rsidR="00DD6B40" w:rsidRPr="00914BD3" w14:paraId="21B1E0BB" w14:textId="77777777" w:rsidTr="00915BC1">
        <w:tc>
          <w:tcPr>
            <w:tcW w:w="851" w:type="dxa"/>
            <w:shd w:val="clear" w:color="auto" w:fill="FFFFFF" w:themeFill="background1"/>
          </w:tcPr>
          <w:p w14:paraId="2E2AB7A1" w14:textId="77777777" w:rsidR="00DD6B40" w:rsidRPr="00914BD3" w:rsidRDefault="00DD6B40" w:rsidP="002D32F6">
            <w:pPr>
              <w:pStyle w:val="ListParagraph"/>
              <w:numPr>
                <w:ilvl w:val="0"/>
                <w:numId w:val="21"/>
              </w:numPr>
              <w:jc w:val="center"/>
              <w:rPr>
                <w:rFonts w:ascii="Times New Roman" w:eastAsia="Times New Roman" w:hAnsi="Times New Roman" w:cs="Times New Roman"/>
                <w:bCs/>
                <w:color w:val="000000"/>
              </w:rPr>
            </w:pPr>
          </w:p>
        </w:tc>
        <w:tc>
          <w:tcPr>
            <w:tcW w:w="6783" w:type="dxa"/>
            <w:shd w:val="clear" w:color="auto" w:fill="FFFFFF" w:themeFill="background1"/>
          </w:tcPr>
          <w:p w14:paraId="37D36C7D" w14:textId="4D1ED9BC" w:rsidR="00822D36" w:rsidRDefault="00DD6B40" w:rsidP="00030292">
            <w:pPr>
              <w:ind w:left="-54"/>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w:t>
            </w:r>
            <w:r w:rsidRPr="00DD6B40">
              <w:rPr>
                <w:rFonts w:ascii="Times New Roman" w:eastAsia="Times New Roman" w:hAnsi="Times New Roman" w:cs="Times New Roman"/>
                <w:bCs/>
                <w:color w:val="000000"/>
              </w:rPr>
              <w:t>What was the consideration for allocation of resources under Lot 1 and 2?</w:t>
            </w:r>
          </w:p>
        </w:tc>
        <w:tc>
          <w:tcPr>
            <w:tcW w:w="6776" w:type="dxa"/>
            <w:shd w:val="clear" w:color="auto" w:fill="FFFFFF" w:themeFill="background1"/>
          </w:tcPr>
          <w:p w14:paraId="343E7553" w14:textId="28AD9087" w:rsidR="00822D36" w:rsidRDefault="00DD6B40" w:rsidP="00EA59DA">
            <w:pPr>
              <w:ind w:left="-54"/>
              <w:jc w:val="both"/>
              <w:rPr>
                <w:rFonts w:ascii="Times New Roman" w:eastAsia="Times New Roman" w:hAnsi="Times New Roman" w:cs="Times New Roman"/>
                <w:bCs/>
                <w:color w:val="000000"/>
              </w:rPr>
            </w:pPr>
            <w:r w:rsidRPr="002D32F6">
              <w:rPr>
                <w:rFonts w:ascii="Times New Roman" w:eastAsia="Times New Roman" w:hAnsi="Times New Roman" w:cs="Times New Roman"/>
                <w:bCs/>
                <w:color w:val="000000"/>
              </w:rPr>
              <w:t xml:space="preserve">The Guidelines for Applicants do not provide this kind of information. </w:t>
            </w:r>
          </w:p>
          <w:p w14:paraId="44F5B873" w14:textId="6619BBAF" w:rsidR="00822D36" w:rsidRPr="00CB32F7" w:rsidRDefault="00822D36" w:rsidP="00EA59DA">
            <w:pPr>
              <w:ind w:left="-54"/>
              <w:jc w:val="both"/>
              <w:rPr>
                <w:rFonts w:ascii="Times New Roman" w:eastAsia="Times New Roman" w:hAnsi="Times New Roman" w:cs="Times New Roman"/>
                <w:bCs/>
                <w:color w:val="000000"/>
              </w:rPr>
            </w:pPr>
          </w:p>
        </w:tc>
      </w:tr>
      <w:tr w:rsidR="00030292" w:rsidRPr="00D91415" w14:paraId="7E6DFFCC" w14:textId="77777777" w:rsidTr="002D32F6">
        <w:trPr>
          <w:trHeight w:val="503"/>
        </w:trPr>
        <w:tc>
          <w:tcPr>
            <w:tcW w:w="14410" w:type="dxa"/>
            <w:gridSpan w:val="3"/>
            <w:shd w:val="clear" w:color="auto" w:fill="DEEAF6" w:themeFill="accent5" w:themeFillTint="33"/>
          </w:tcPr>
          <w:p w14:paraId="620A8E48" w14:textId="77777777" w:rsidR="00030292" w:rsidRPr="002D32F6" w:rsidRDefault="00030292" w:rsidP="00EA59DA">
            <w:pPr>
              <w:jc w:val="center"/>
              <w:rPr>
                <w:rFonts w:ascii="Times New Roman" w:eastAsia="Times New Roman" w:hAnsi="Times New Roman" w:cs="Times New Roman"/>
                <w:b/>
                <w:bCs/>
                <w:color w:val="000000"/>
                <w:sz w:val="28"/>
              </w:rPr>
            </w:pPr>
            <w:r w:rsidRPr="002D32F6">
              <w:rPr>
                <w:rFonts w:ascii="Times New Roman" w:eastAsia="Times New Roman" w:hAnsi="Times New Roman" w:cs="Times New Roman"/>
                <w:b/>
                <w:bCs/>
                <w:color w:val="000000"/>
                <w:sz w:val="28"/>
              </w:rPr>
              <w:t xml:space="preserve">QUESTIONS AND ANSWERS RELATED TO THE ELIGIBILITY CRITERIA </w:t>
            </w:r>
          </w:p>
          <w:p w14:paraId="68DCEC9C" w14:textId="4A015305" w:rsidR="00030292" w:rsidRPr="002D32F6" w:rsidRDefault="00030292" w:rsidP="00EA59DA">
            <w:pPr>
              <w:jc w:val="center"/>
              <w:rPr>
                <w:rFonts w:ascii="Times New Roman" w:eastAsia="Times New Roman" w:hAnsi="Times New Roman" w:cs="Times New Roman"/>
                <w:b/>
                <w:bCs/>
                <w:color w:val="000000"/>
                <w:sz w:val="28"/>
              </w:rPr>
            </w:pPr>
            <w:r w:rsidRPr="002D32F6">
              <w:rPr>
                <w:rFonts w:ascii="Times New Roman" w:eastAsia="Times New Roman" w:hAnsi="Times New Roman" w:cs="Times New Roman"/>
                <w:b/>
                <w:bCs/>
                <w:color w:val="000000"/>
                <w:sz w:val="28"/>
              </w:rPr>
              <w:t>UNDER SECTION 2.1 OF THE GUIDELINES FOR APPLICANTS</w:t>
            </w:r>
          </w:p>
        </w:tc>
      </w:tr>
      <w:tr w:rsidR="00085426" w:rsidRPr="00D91415" w14:paraId="2FAE25BE" w14:textId="77777777" w:rsidTr="00915BC1">
        <w:tc>
          <w:tcPr>
            <w:tcW w:w="851" w:type="dxa"/>
            <w:shd w:val="clear" w:color="auto" w:fill="FFFFFF" w:themeFill="background1"/>
          </w:tcPr>
          <w:p w14:paraId="43B8D270" w14:textId="77777777" w:rsidR="00085426" w:rsidRPr="00D91415" w:rsidRDefault="00085426" w:rsidP="002D32F6">
            <w:pPr>
              <w:pStyle w:val="ListParagraph"/>
              <w:numPr>
                <w:ilvl w:val="0"/>
                <w:numId w:val="21"/>
              </w:numPr>
              <w:jc w:val="center"/>
              <w:rPr>
                <w:rFonts w:ascii="Times New Roman" w:eastAsia="Times New Roman" w:hAnsi="Times New Roman" w:cs="Times New Roman"/>
                <w:bCs/>
                <w:color w:val="000000"/>
              </w:rPr>
            </w:pPr>
          </w:p>
        </w:tc>
        <w:tc>
          <w:tcPr>
            <w:tcW w:w="6783" w:type="dxa"/>
            <w:shd w:val="clear" w:color="auto" w:fill="FFFFFF" w:themeFill="background1"/>
          </w:tcPr>
          <w:p w14:paraId="3B7E7459" w14:textId="77777777" w:rsidR="00085426" w:rsidRDefault="00085426" w:rsidP="00085426">
            <w:pPr>
              <w:ind w:left="-54"/>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w:t>
            </w:r>
            <w:r w:rsidRPr="00085426">
              <w:rPr>
                <w:rFonts w:ascii="Times New Roman" w:eastAsia="Times New Roman" w:hAnsi="Times New Roman" w:cs="Times New Roman"/>
                <w:bCs/>
                <w:color w:val="000000"/>
              </w:rPr>
              <w:t xml:space="preserve">What is the rationale for the difference in initial planned duration between lot 1 and lot 2? </w:t>
            </w:r>
          </w:p>
          <w:p w14:paraId="762D5C83" w14:textId="77777777" w:rsidR="00085426" w:rsidRDefault="00085426" w:rsidP="00085426">
            <w:pPr>
              <w:ind w:left="-54"/>
              <w:jc w:val="both"/>
              <w:rPr>
                <w:rFonts w:ascii="Times New Roman" w:eastAsia="Times New Roman" w:hAnsi="Times New Roman" w:cs="Times New Roman"/>
                <w:bCs/>
                <w:color w:val="000000"/>
              </w:rPr>
            </w:pPr>
          </w:p>
          <w:p w14:paraId="246DE722" w14:textId="4B77399F" w:rsidR="00085426" w:rsidRDefault="00085426" w:rsidP="00085426">
            <w:pPr>
              <w:ind w:left="-54"/>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w:t>
            </w:r>
            <w:r w:rsidRPr="00085426">
              <w:rPr>
                <w:rFonts w:ascii="Times New Roman" w:eastAsia="Times New Roman" w:hAnsi="Times New Roman" w:cs="Times New Roman"/>
                <w:bCs/>
                <w:color w:val="000000"/>
              </w:rPr>
              <w:t>Can they both have the same duration?</w:t>
            </w:r>
          </w:p>
        </w:tc>
        <w:tc>
          <w:tcPr>
            <w:tcW w:w="6776" w:type="dxa"/>
            <w:shd w:val="clear" w:color="auto" w:fill="FFFFFF" w:themeFill="background1"/>
          </w:tcPr>
          <w:p w14:paraId="1FFBD093" w14:textId="77777777" w:rsidR="00085426" w:rsidRDefault="00085426" w:rsidP="00EA59DA">
            <w:pPr>
              <w:jc w:val="both"/>
              <w:rPr>
                <w:rFonts w:ascii="Times New Roman" w:eastAsia="Times New Roman" w:hAnsi="Times New Roman" w:cs="Times New Roman"/>
                <w:bCs/>
                <w:color w:val="000000"/>
              </w:rPr>
            </w:pPr>
            <w:r w:rsidRPr="00CB32F7">
              <w:rPr>
                <w:rFonts w:ascii="Times New Roman" w:eastAsia="Times New Roman" w:hAnsi="Times New Roman" w:cs="Times New Roman"/>
                <w:bCs/>
                <w:color w:val="000000"/>
              </w:rPr>
              <w:t>The Guidelines for Applicants do not provide this kind of information.</w:t>
            </w:r>
          </w:p>
          <w:p w14:paraId="11E071B3" w14:textId="77777777" w:rsidR="00085426" w:rsidRDefault="00085426" w:rsidP="00EA59DA">
            <w:pPr>
              <w:jc w:val="both"/>
              <w:rPr>
                <w:rFonts w:ascii="Times New Roman" w:hAnsi="Times New Roman" w:cs="Times New Roman"/>
              </w:rPr>
            </w:pPr>
          </w:p>
          <w:p w14:paraId="2748D207" w14:textId="4CED3AD1" w:rsidR="00085426" w:rsidRPr="00CB32F7" w:rsidRDefault="00085426" w:rsidP="00EA59DA">
            <w:pPr>
              <w:jc w:val="both"/>
              <w:rPr>
                <w:rFonts w:ascii="Times New Roman" w:hAnsi="Times New Roman" w:cs="Times New Roman"/>
              </w:rPr>
            </w:pPr>
            <w:r>
              <w:rPr>
                <w:rFonts w:ascii="Times New Roman" w:hAnsi="Times New Roman" w:cs="Times New Roman"/>
              </w:rPr>
              <w:t>As specified in section 2.1.4 of the Guidelines for Applicants, page 14, the minimum and maximum durations for Lot 1 and Lot 2 are different.</w:t>
            </w:r>
          </w:p>
        </w:tc>
      </w:tr>
      <w:tr w:rsidR="00DD6B40" w:rsidRPr="00D91415" w14:paraId="39D9FFA3" w14:textId="77777777" w:rsidTr="00915BC1">
        <w:tc>
          <w:tcPr>
            <w:tcW w:w="851" w:type="dxa"/>
            <w:shd w:val="clear" w:color="auto" w:fill="FFFFFF" w:themeFill="background1"/>
          </w:tcPr>
          <w:p w14:paraId="3884A9AF" w14:textId="77777777" w:rsidR="00DD6B40" w:rsidRPr="00D91415" w:rsidRDefault="00DD6B40" w:rsidP="002D32F6">
            <w:pPr>
              <w:pStyle w:val="ListParagraph"/>
              <w:numPr>
                <w:ilvl w:val="0"/>
                <w:numId w:val="21"/>
              </w:numPr>
              <w:jc w:val="center"/>
              <w:rPr>
                <w:rFonts w:ascii="Times New Roman" w:eastAsia="Times New Roman" w:hAnsi="Times New Roman" w:cs="Times New Roman"/>
                <w:bCs/>
                <w:color w:val="000000"/>
              </w:rPr>
            </w:pPr>
          </w:p>
        </w:tc>
        <w:tc>
          <w:tcPr>
            <w:tcW w:w="6783" w:type="dxa"/>
            <w:shd w:val="clear" w:color="auto" w:fill="FFFFFF" w:themeFill="background1"/>
          </w:tcPr>
          <w:p w14:paraId="546E6E4C" w14:textId="77777777" w:rsidR="00DD6B40" w:rsidRDefault="00DD6B40" w:rsidP="00EA59DA">
            <w:pPr>
              <w:ind w:left="-54"/>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w:t>
            </w:r>
            <w:r w:rsidRPr="00CB32F7">
              <w:rPr>
                <w:rFonts w:ascii="Times New Roman" w:eastAsia="Times New Roman" w:hAnsi="Times New Roman" w:cs="Times New Roman"/>
                <w:bCs/>
                <w:color w:val="000000"/>
              </w:rPr>
              <w:t xml:space="preserve">Can an applicant apply for both Lot 1 and lot 2 at the same time? </w:t>
            </w:r>
          </w:p>
          <w:p w14:paraId="716B82DC" w14:textId="77777777" w:rsidR="00DD6B40" w:rsidRDefault="00DD6B40" w:rsidP="00EA59DA">
            <w:pPr>
              <w:ind w:left="-54"/>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w:t>
            </w:r>
            <w:r w:rsidRPr="00CB32F7">
              <w:rPr>
                <w:rFonts w:ascii="Times New Roman" w:eastAsia="Times New Roman" w:hAnsi="Times New Roman" w:cs="Times New Roman"/>
                <w:bCs/>
                <w:color w:val="000000"/>
              </w:rPr>
              <w:t xml:space="preserve">Could one clarify whether one can apply for only one or two lots? </w:t>
            </w:r>
          </w:p>
          <w:p w14:paraId="44881A4C" w14:textId="77777777" w:rsidR="00DD6B40" w:rsidRDefault="00DD6B40" w:rsidP="00EA59DA">
            <w:pPr>
              <w:ind w:left="-54"/>
              <w:jc w:val="both"/>
              <w:rPr>
                <w:rFonts w:ascii="Times New Roman" w:eastAsia="Times New Roman" w:hAnsi="Times New Roman" w:cs="Times New Roman"/>
                <w:bCs/>
                <w:color w:val="000000"/>
              </w:rPr>
            </w:pPr>
          </w:p>
          <w:p w14:paraId="3465B080" w14:textId="77777777" w:rsidR="00DD6B40" w:rsidRPr="00CB32F7" w:rsidRDefault="00DD6B40" w:rsidP="00EA59DA">
            <w:pPr>
              <w:ind w:left="-54"/>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w:t>
            </w:r>
            <w:r w:rsidRPr="00CB32F7">
              <w:rPr>
                <w:rFonts w:ascii="Times New Roman" w:eastAsia="Times New Roman" w:hAnsi="Times New Roman" w:cs="Times New Roman"/>
                <w:bCs/>
                <w:color w:val="000000"/>
              </w:rPr>
              <w:t>Can one submit two separate applications in two different lots?</w:t>
            </w:r>
          </w:p>
        </w:tc>
        <w:tc>
          <w:tcPr>
            <w:tcW w:w="6776" w:type="dxa"/>
            <w:shd w:val="clear" w:color="auto" w:fill="FFFFFF" w:themeFill="background1"/>
          </w:tcPr>
          <w:p w14:paraId="3C30DEA4" w14:textId="77777777" w:rsidR="00DD6B40" w:rsidRPr="00D91415" w:rsidRDefault="00DD6B40" w:rsidP="00EA59DA">
            <w:pPr>
              <w:jc w:val="both"/>
              <w:rPr>
                <w:rFonts w:ascii="Times New Roman" w:hAnsi="Times New Roman" w:cs="Times New Roman"/>
              </w:rPr>
            </w:pPr>
            <w:r w:rsidRPr="00CB32F7">
              <w:rPr>
                <w:rFonts w:ascii="Times New Roman" w:hAnsi="Times New Roman" w:cs="Times New Roman"/>
              </w:rPr>
              <w:t xml:space="preserve">An applicant can apply for both Lot 1 and Lot 2 subject to the </w:t>
            </w:r>
            <w:r>
              <w:rPr>
                <w:rFonts w:ascii="Times New Roman" w:hAnsi="Times New Roman" w:cs="Times New Roman"/>
              </w:rPr>
              <w:t xml:space="preserve">maximum </w:t>
            </w:r>
            <w:r w:rsidRPr="00CB32F7">
              <w:rPr>
                <w:rFonts w:ascii="Times New Roman" w:hAnsi="Times New Roman" w:cs="Times New Roman"/>
              </w:rPr>
              <w:t>number of applications and grants per Lead applicant/Co-applicant/affiliated entities as specified under section 2.1.4, page 16 of the Guidelines for Applicants.</w:t>
            </w:r>
          </w:p>
        </w:tc>
      </w:tr>
      <w:tr w:rsidR="00DD6B40" w:rsidRPr="00D91415" w14:paraId="6E32FC82" w14:textId="77777777" w:rsidTr="00915BC1">
        <w:trPr>
          <w:trHeight w:val="474"/>
        </w:trPr>
        <w:tc>
          <w:tcPr>
            <w:tcW w:w="851" w:type="dxa"/>
            <w:shd w:val="clear" w:color="auto" w:fill="FFFFFF" w:themeFill="background1"/>
          </w:tcPr>
          <w:p w14:paraId="7B30E3AF" w14:textId="77777777" w:rsidR="00DD6B40" w:rsidRPr="00D91415" w:rsidRDefault="00DD6B40" w:rsidP="002D32F6">
            <w:pPr>
              <w:pStyle w:val="ListParagraph"/>
              <w:numPr>
                <w:ilvl w:val="0"/>
                <w:numId w:val="21"/>
              </w:numPr>
              <w:jc w:val="center"/>
              <w:rPr>
                <w:rFonts w:ascii="Times New Roman" w:eastAsia="Times New Roman" w:hAnsi="Times New Roman" w:cs="Times New Roman"/>
                <w:bCs/>
                <w:color w:val="000000"/>
              </w:rPr>
            </w:pPr>
          </w:p>
        </w:tc>
        <w:tc>
          <w:tcPr>
            <w:tcW w:w="6783" w:type="dxa"/>
            <w:shd w:val="clear" w:color="auto" w:fill="FFFFFF" w:themeFill="background1"/>
          </w:tcPr>
          <w:p w14:paraId="1D9B97C1" w14:textId="77777777" w:rsidR="00DD6B40" w:rsidRPr="00CB32F7" w:rsidRDefault="00DD6B40" w:rsidP="00EA59DA">
            <w:pPr>
              <w:ind w:left="-54"/>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w:t>
            </w:r>
            <w:r w:rsidRPr="00CB32F7">
              <w:rPr>
                <w:rFonts w:ascii="Times New Roman" w:eastAsia="Times New Roman" w:hAnsi="Times New Roman" w:cs="Times New Roman"/>
                <w:bCs/>
                <w:color w:val="000000"/>
              </w:rPr>
              <w:t>Could you clarify on the role of the lead applicant and the co-applicant?</w:t>
            </w:r>
          </w:p>
        </w:tc>
        <w:tc>
          <w:tcPr>
            <w:tcW w:w="6776" w:type="dxa"/>
            <w:shd w:val="clear" w:color="auto" w:fill="FFFFFF" w:themeFill="background1"/>
          </w:tcPr>
          <w:p w14:paraId="75197F3B" w14:textId="77777777" w:rsidR="00DD6B40" w:rsidRPr="00D91415" w:rsidRDefault="00DD6B40" w:rsidP="00EA59DA">
            <w:pPr>
              <w:jc w:val="both"/>
              <w:rPr>
                <w:rFonts w:ascii="Times New Roman" w:hAnsi="Times New Roman" w:cs="Times New Roman"/>
              </w:rPr>
            </w:pPr>
            <w:r w:rsidRPr="00CB32F7">
              <w:rPr>
                <w:rFonts w:ascii="Times New Roman" w:hAnsi="Times New Roman" w:cs="Times New Roman"/>
              </w:rPr>
              <w:t xml:space="preserve">Refer to section 2.1.1 of the Guidelines for Applicants, page 11 and 12. </w:t>
            </w:r>
          </w:p>
        </w:tc>
      </w:tr>
      <w:tr w:rsidR="00DD6B40" w:rsidRPr="00D91415" w14:paraId="00C88D66" w14:textId="77777777" w:rsidTr="00915BC1">
        <w:tc>
          <w:tcPr>
            <w:tcW w:w="851" w:type="dxa"/>
            <w:shd w:val="clear" w:color="auto" w:fill="FFFFFF" w:themeFill="background1"/>
          </w:tcPr>
          <w:p w14:paraId="350DEDA8" w14:textId="77777777" w:rsidR="00DD6B40" w:rsidRPr="00D91415" w:rsidRDefault="00DD6B40" w:rsidP="002D32F6">
            <w:pPr>
              <w:pStyle w:val="ListParagraph"/>
              <w:numPr>
                <w:ilvl w:val="0"/>
                <w:numId w:val="21"/>
              </w:numPr>
              <w:jc w:val="center"/>
              <w:rPr>
                <w:rFonts w:ascii="Times New Roman" w:eastAsia="Times New Roman" w:hAnsi="Times New Roman" w:cs="Times New Roman"/>
                <w:bCs/>
                <w:color w:val="000000"/>
              </w:rPr>
            </w:pPr>
          </w:p>
        </w:tc>
        <w:tc>
          <w:tcPr>
            <w:tcW w:w="6783" w:type="dxa"/>
            <w:shd w:val="clear" w:color="auto" w:fill="FFFFFF" w:themeFill="background1"/>
          </w:tcPr>
          <w:p w14:paraId="72630531" w14:textId="77777777" w:rsidR="00DD6B40" w:rsidRDefault="00DD6B40" w:rsidP="00EA59DA">
            <w:pPr>
              <w:ind w:left="-54"/>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w:t>
            </w:r>
            <w:r w:rsidRPr="00CB32F7">
              <w:rPr>
                <w:rFonts w:ascii="Times New Roman" w:eastAsia="Times New Roman" w:hAnsi="Times New Roman" w:cs="Times New Roman"/>
                <w:bCs/>
                <w:color w:val="000000"/>
              </w:rPr>
              <w:t xml:space="preserve">Is it a must that a lead applicant must submit a Concept Note with a co-applicant? </w:t>
            </w:r>
          </w:p>
          <w:p w14:paraId="5BCB2DB9" w14:textId="77777777" w:rsidR="00DD6B40" w:rsidRDefault="00DD6B40" w:rsidP="00EA59DA">
            <w:pPr>
              <w:ind w:left="-54"/>
              <w:jc w:val="both"/>
              <w:rPr>
                <w:rFonts w:ascii="Times New Roman" w:eastAsia="Times New Roman" w:hAnsi="Times New Roman" w:cs="Times New Roman"/>
                <w:bCs/>
                <w:color w:val="000000"/>
              </w:rPr>
            </w:pPr>
          </w:p>
          <w:p w14:paraId="1CA5F4E4" w14:textId="77777777" w:rsidR="00DD6B40" w:rsidRPr="00CB32F7" w:rsidRDefault="00DD6B40" w:rsidP="00EA59DA">
            <w:pPr>
              <w:ind w:left="-54"/>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w:t>
            </w:r>
            <w:r w:rsidRPr="00CB32F7">
              <w:rPr>
                <w:rFonts w:ascii="Times New Roman" w:eastAsia="Times New Roman" w:hAnsi="Times New Roman" w:cs="Times New Roman"/>
                <w:bCs/>
                <w:color w:val="000000"/>
              </w:rPr>
              <w:t>How many co-applicants should be considered by the lead applicant?</w:t>
            </w:r>
          </w:p>
        </w:tc>
        <w:tc>
          <w:tcPr>
            <w:tcW w:w="6776" w:type="dxa"/>
            <w:shd w:val="clear" w:color="auto" w:fill="FFFFFF" w:themeFill="background1"/>
          </w:tcPr>
          <w:p w14:paraId="25B08AC6" w14:textId="77777777" w:rsidR="00DD6B40" w:rsidRPr="00D91415" w:rsidRDefault="00DD6B40" w:rsidP="00EA59DA">
            <w:pPr>
              <w:jc w:val="both"/>
              <w:rPr>
                <w:rFonts w:ascii="Times New Roman" w:hAnsi="Times New Roman" w:cs="Times New Roman"/>
              </w:rPr>
            </w:pPr>
            <w:r w:rsidRPr="00CB32F7">
              <w:rPr>
                <w:rFonts w:ascii="Times New Roman" w:hAnsi="Times New Roman" w:cs="Times New Roman"/>
              </w:rPr>
              <w:t xml:space="preserve">As specified in Section 2.1.1, page 12, co-applicants are obligatory. The Call does not specify the maximum number of co-applicants per action. </w:t>
            </w:r>
          </w:p>
        </w:tc>
      </w:tr>
      <w:tr w:rsidR="00DD6B40" w:rsidRPr="00D91415" w14:paraId="552D104E" w14:textId="77777777" w:rsidTr="00915BC1">
        <w:tc>
          <w:tcPr>
            <w:tcW w:w="851" w:type="dxa"/>
            <w:shd w:val="clear" w:color="auto" w:fill="FFFFFF" w:themeFill="background1"/>
          </w:tcPr>
          <w:p w14:paraId="28E52FC3" w14:textId="77777777" w:rsidR="00DD6B40" w:rsidRPr="00D91415" w:rsidRDefault="00DD6B40" w:rsidP="002D32F6">
            <w:pPr>
              <w:pStyle w:val="ListParagraph"/>
              <w:numPr>
                <w:ilvl w:val="0"/>
                <w:numId w:val="21"/>
              </w:numPr>
              <w:jc w:val="center"/>
              <w:rPr>
                <w:rFonts w:ascii="Times New Roman" w:eastAsia="Times New Roman" w:hAnsi="Times New Roman" w:cs="Times New Roman"/>
                <w:bCs/>
                <w:color w:val="000000"/>
              </w:rPr>
            </w:pPr>
          </w:p>
        </w:tc>
        <w:tc>
          <w:tcPr>
            <w:tcW w:w="6783" w:type="dxa"/>
            <w:shd w:val="clear" w:color="auto" w:fill="FFFFFF" w:themeFill="background1"/>
          </w:tcPr>
          <w:p w14:paraId="7B661E09" w14:textId="77777777" w:rsidR="00DD6B40" w:rsidRDefault="00DD6B40" w:rsidP="00EA59DA">
            <w:pPr>
              <w:ind w:left="-54"/>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w:t>
            </w:r>
            <w:r w:rsidRPr="00CB32F7">
              <w:rPr>
                <w:rFonts w:ascii="Times New Roman" w:eastAsia="Times New Roman" w:hAnsi="Times New Roman" w:cs="Times New Roman"/>
                <w:bCs/>
                <w:color w:val="000000"/>
              </w:rPr>
              <w:t>Will co-applicants come as a consortium under a lead applicant or as third parties?</w:t>
            </w:r>
            <w:r>
              <w:rPr>
                <w:rFonts w:ascii="Times New Roman" w:eastAsia="Times New Roman" w:hAnsi="Times New Roman" w:cs="Times New Roman"/>
                <w:bCs/>
                <w:color w:val="000000"/>
              </w:rPr>
              <w:t xml:space="preserve"> </w:t>
            </w:r>
          </w:p>
          <w:p w14:paraId="179B2E94" w14:textId="77777777" w:rsidR="00DD6B40" w:rsidRDefault="00DD6B40" w:rsidP="00EA59DA">
            <w:pPr>
              <w:ind w:left="-54"/>
              <w:jc w:val="both"/>
              <w:rPr>
                <w:rFonts w:ascii="Times New Roman" w:eastAsia="Times New Roman" w:hAnsi="Times New Roman" w:cs="Times New Roman"/>
                <w:bCs/>
                <w:color w:val="000000"/>
              </w:rPr>
            </w:pPr>
          </w:p>
          <w:p w14:paraId="3756A3D5" w14:textId="77777777" w:rsidR="00DD6B40" w:rsidRDefault="00DD6B40" w:rsidP="00EA59DA">
            <w:pPr>
              <w:ind w:left="-54"/>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w:t>
            </w:r>
            <w:r w:rsidRPr="00CB32F7">
              <w:rPr>
                <w:rFonts w:ascii="Times New Roman" w:eastAsia="Times New Roman" w:hAnsi="Times New Roman" w:cs="Times New Roman"/>
                <w:bCs/>
                <w:color w:val="000000"/>
              </w:rPr>
              <w:t>Can a lead applicant or co-applicant sub-grant to other partners?</w:t>
            </w:r>
            <w:r>
              <w:rPr>
                <w:rFonts w:ascii="Times New Roman" w:eastAsia="Times New Roman" w:hAnsi="Times New Roman" w:cs="Times New Roman"/>
                <w:bCs/>
                <w:color w:val="000000"/>
              </w:rPr>
              <w:t xml:space="preserve"> </w:t>
            </w:r>
          </w:p>
          <w:p w14:paraId="11D7E179" w14:textId="77777777" w:rsidR="00DD6B40" w:rsidRDefault="00DD6B40" w:rsidP="00EA59DA">
            <w:pPr>
              <w:ind w:left="-54"/>
              <w:jc w:val="both"/>
              <w:rPr>
                <w:rFonts w:ascii="Times New Roman" w:eastAsia="Times New Roman" w:hAnsi="Times New Roman" w:cs="Times New Roman"/>
                <w:bCs/>
                <w:color w:val="000000"/>
              </w:rPr>
            </w:pPr>
          </w:p>
          <w:p w14:paraId="21F19030" w14:textId="77777777" w:rsidR="00DD6B40" w:rsidRPr="00CB32F7" w:rsidRDefault="00DD6B40" w:rsidP="00EA59DA">
            <w:pPr>
              <w:ind w:left="-54"/>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w:t>
            </w:r>
            <w:r w:rsidRPr="00CB32F7">
              <w:rPr>
                <w:rFonts w:ascii="Times New Roman" w:eastAsia="Times New Roman" w:hAnsi="Times New Roman" w:cs="Times New Roman"/>
                <w:bCs/>
                <w:color w:val="000000"/>
              </w:rPr>
              <w:t>Is the EUR 60,000 non-essential financial support to third parties relating to the entire project period or it is annual?</w:t>
            </w:r>
          </w:p>
        </w:tc>
        <w:tc>
          <w:tcPr>
            <w:tcW w:w="6776" w:type="dxa"/>
            <w:shd w:val="clear" w:color="auto" w:fill="FFFFFF" w:themeFill="background1"/>
          </w:tcPr>
          <w:p w14:paraId="4B3541E0" w14:textId="0B556A31" w:rsidR="00DD6B40" w:rsidRPr="00D91415" w:rsidRDefault="00DD6B40" w:rsidP="00783E9C">
            <w:pPr>
              <w:jc w:val="both"/>
              <w:rPr>
                <w:rFonts w:ascii="Times New Roman" w:hAnsi="Times New Roman" w:cs="Times New Roman"/>
              </w:rPr>
            </w:pPr>
            <w:r w:rsidRPr="00CB32F7">
              <w:rPr>
                <w:rFonts w:ascii="Times New Roman" w:hAnsi="Times New Roman" w:cs="Times New Roman"/>
              </w:rPr>
              <w:t>As specified in section 2.1.1, page 12, co-applicants participate in designing and impl</w:t>
            </w:r>
            <w:r w:rsidR="00783E9C">
              <w:rPr>
                <w:rFonts w:ascii="Times New Roman" w:hAnsi="Times New Roman" w:cs="Times New Roman"/>
              </w:rPr>
              <w:t>ement</w:t>
            </w:r>
            <w:r w:rsidRPr="00CB32F7">
              <w:rPr>
                <w:rFonts w:ascii="Times New Roman" w:hAnsi="Times New Roman" w:cs="Times New Roman"/>
              </w:rPr>
              <w:t xml:space="preserve">ing the action, and the costs they incur are eligible in the same way as those incurred by the lead applicant. In section 2.1.4, page 15, it is specified that under this Call, financial support to third parties is not considered essential to achieve the objective of the action. Therefore, co-applicants and third parties are different. </w:t>
            </w:r>
            <w:r>
              <w:rPr>
                <w:rFonts w:ascii="Times New Roman" w:hAnsi="Times New Roman" w:cs="Times New Roman"/>
              </w:rPr>
              <w:t>L</w:t>
            </w:r>
            <w:r w:rsidRPr="00CB32F7">
              <w:rPr>
                <w:rFonts w:ascii="Times New Roman" w:hAnsi="Times New Roman" w:cs="Times New Roman"/>
              </w:rPr>
              <w:t>ead applicants and co-applicants can sub-grant to third parties to a maximum of EUR 60,000 and the maximum amount of EUR 60,000 is for the entire period of the proposed action. Refer to section 2.1.4 in the Guidelines for Applicants, page 15, which describes the conditions for financial support to third parties.</w:t>
            </w:r>
          </w:p>
        </w:tc>
      </w:tr>
      <w:tr w:rsidR="00AB63E4" w:rsidRPr="00D91415" w14:paraId="5C7F3BF9" w14:textId="77777777" w:rsidTr="00915BC1">
        <w:tc>
          <w:tcPr>
            <w:tcW w:w="851" w:type="dxa"/>
            <w:shd w:val="clear" w:color="auto" w:fill="FFFFFF" w:themeFill="background1"/>
          </w:tcPr>
          <w:p w14:paraId="714FE861" w14:textId="77777777" w:rsidR="00AB63E4" w:rsidRPr="00D91415" w:rsidRDefault="00AB63E4" w:rsidP="002D32F6">
            <w:pPr>
              <w:pStyle w:val="ListParagraph"/>
              <w:numPr>
                <w:ilvl w:val="0"/>
                <w:numId w:val="21"/>
              </w:numPr>
              <w:jc w:val="center"/>
              <w:rPr>
                <w:rFonts w:ascii="Times New Roman" w:eastAsia="Times New Roman" w:hAnsi="Times New Roman" w:cs="Times New Roman"/>
                <w:bCs/>
                <w:color w:val="000000"/>
              </w:rPr>
            </w:pPr>
          </w:p>
        </w:tc>
        <w:tc>
          <w:tcPr>
            <w:tcW w:w="6783" w:type="dxa"/>
            <w:shd w:val="clear" w:color="auto" w:fill="FFFFFF" w:themeFill="background1"/>
          </w:tcPr>
          <w:p w14:paraId="2192B725" w14:textId="2CC0F192" w:rsidR="00AB63E4" w:rsidRDefault="00AB63E4" w:rsidP="00EA59DA">
            <w:pPr>
              <w:ind w:left="-54"/>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w:t>
            </w:r>
            <w:r w:rsidRPr="00AB63E4">
              <w:rPr>
                <w:rFonts w:ascii="Times New Roman" w:eastAsia="Times New Roman" w:hAnsi="Times New Roman" w:cs="Times New Roman"/>
                <w:bCs/>
                <w:color w:val="000000"/>
              </w:rPr>
              <w:t>Experience has shown that lead applicants who are mainly international NGOs take a lot of time to accept to work with some of the local institutions/NGOs. How will you consider local NGOs that are not interested to work with international NGOs?</w:t>
            </w:r>
          </w:p>
        </w:tc>
        <w:tc>
          <w:tcPr>
            <w:tcW w:w="6776" w:type="dxa"/>
            <w:shd w:val="clear" w:color="auto" w:fill="FFFFFF" w:themeFill="background1"/>
          </w:tcPr>
          <w:p w14:paraId="1488BB1E" w14:textId="5F56B3C6" w:rsidR="00AB63E4" w:rsidRPr="00CB32F7" w:rsidRDefault="00AB63E4" w:rsidP="00783E9C">
            <w:pPr>
              <w:jc w:val="both"/>
              <w:rPr>
                <w:rFonts w:ascii="Times New Roman" w:hAnsi="Times New Roman" w:cs="Times New Roman"/>
              </w:rPr>
            </w:pPr>
            <w:r w:rsidRPr="00AB63E4">
              <w:rPr>
                <w:rFonts w:ascii="Times New Roman" w:hAnsi="Times New Roman" w:cs="Times New Roman"/>
              </w:rPr>
              <w:t>Refer to section 2.1 of the Guidelines for Applicants where the eligibility criteria are listed for the lead applicant, co-applicant(s), affiliated entity(ies), associates and contractors.</w:t>
            </w:r>
          </w:p>
        </w:tc>
      </w:tr>
      <w:tr w:rsidR="00783E9C" w:rsidRPr="00D91415" w14:paraId="0B112CE2" w14:textId="77777777" w:rsidTr="00915BC1">
        <w:tc>
          <w:tcPr>
            <w:tcW w:w="851" w:type="dxa"/>
            <w:shd w:val="clear" w:color="auto" w:fill="FFFFFF" w:themeFill="background1"/>
          </w:tcPr>
          <w:p w14:paraId="44057FEA" w14:textId="77777777" w:rsidR="00783E9C" w:rsidRPr="00D91415" w:rsidRDefault="00783E9C" w:rsidP="002D32F6">
            <w:pPr>
              <w:pStyle w:val="ListParagraph"/>
              <w:numPr>
                <w:ilvl w:val="0"/>
                <w:numId w:val="21"/>
              </w:numPr>
              <w:jc w:val="center"/>
              <w:rPr>
                <w:rFonts w:ascii="Times New Roman" w:eastAsia="Times New Roman" w:hAnsi="Times New Roman" w:cs="Times New Roman"/>
                <w:bCs/>
                <w:color w:val="000000"/>
              </w:rPr>
            </w:pPr>
          </w:p>
        </w:tc>
        <w:tc>
          <w:tcPr>
            <w:tcW w:w="6783" w:type="dxa"/>
            <w:shd w:val="clear" w:color="auto" w:fill="FFFFFF" w:themeFill="background1"/>
          </w:tcPr>
          <w:p w14:paraId="6FD11D88" w14:textId="77777777" w:rsidR="00783E9C" w:rsidRDefault="00783E9C" w:rsidP="00EA59DA">
            <w:pPr>
              <w:ind w:left="-54"/>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w:t>
            </w:r>
            <w:r w:rsidRPr="00783E9C">
              <w:rPr>
                <w:rFonts w:ascii="Times New Roman" w:eastAsia="Times New Roman" w:hAnsi="Times New Roman" w:cs="Times New Roman"/>
                <w:bCs/>
                <w:color w:val="000000"/>
              </w:rPr>
              <w:t>Could you identify some of the lead partners in previous EU/EDF funded programmes for potential partnerships with local organisations under this Call?</w:t>
            </w:r>
          </w:p>
          <w:p w14:paraId="0CA3BD1B" w14:textId="77777777" w:rsidR="00AB63E4" w:rsidRDefault="00AB63E4" w:rsidP="00EA59DA">
            <w:pPr>
              <w:ind w:left="-54"/>
              <w:jc w:val="both"/>
              <w:rPr>
                <w:rFonts w:ascii="Times New Roman" w:eastAsia="Times New Roman" w:hAnsi="Times New Roman" w:cs="Times New Roman"/>
                <w:bCs/>
                <w:color w:val="000000"/>
              </w:rPr>
            </w:pPr>
          </w:p>
          <w:p w14:paraId="220910D9" w14:textId="420636D5" w:rsidR="00AB63E4" w:rsidRDefault="00AB63E4" w:rsidP="00EA59DA">
            <w:pPr>
              <w:ind w:left="-54"/>
              <w:jc w:val="both"/>
              <w:rPr>
                <w:rFonts w:ascii="Times New Roman" w:eastAsia="Times New Roman" w:hAnsi="Times New Roman" w:cs="Times New Roman"/>
                <w:bCs/>
                <w:color w:val="000000"/>
              </w:rPr>
            </w:pPr>
          </w:p>
        </w:tc>
        <w:tc>
          <w:tcPr>
            <w:tcW w:w="6776" w:type="dxa"/>
            <w:shd w:val="clear" w:color="auto" w:fill="FFFFFF" w:themeFill="background1"/>
          </w:tcPr>
          <w:p w14:paraId="094A8BF9" w14:textId="77777777" w:rsidR="00783E9C" w:rsidRDefault="00783E9C" w:rsidP="00783E9C">
            <w:pPr>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The Guidelines for Applicants do not provide this kind of information.</w:t>
            </w:r>
          </w:p>
          <w:p w14:paraId="6B10E709" w14:textId="77777777" w:rsidR="00783E9C" w:rsidRDefault="00783E9C" w:rsidP="00783E9C">
            <w:pPr>
              <w:jc w:val="both"/>
              <w:rPr>
                <w:rFonts w:ascii="Times New Roman" w:eastAsia="Times New Roman" w:hAnsi="Times New Roman" w:cs="Times New Roman"/>
                <w:bCs/>
                <w:color w:val="000000"/>
              </w:rPr>
            </w:pPr>
          </w:p>
          <w:p w14:paraId="50D80A55" w14:textId="0BE88AA7" w:rsidR="00783E9C" w:rsidRPr="00CB32F7" w:rsidRDefault="00783E9C" w:rsidP="00783E9C">
            <w:pPr>
              <w:jc w:val="both"/>
              <w:rPr>
                <w:rFonts w:ascii="Times New Roman" w:hAnsi="Times New Roman" w:cs="Times New Roman"/>
              </w:rPr>
            </w:pPr>
            <w:r w:rsidRPr="00CB32F7">
              <w:rPr>
                <w:rFonts w:ascii="Times New Roman" w:eastAsia="Times New Roman" w:hAnsi="Times New Roman" w:cs="Times New Roman"/>
                <w:bCs/>
                <w:color w:val="000000"/>
              </w:rPr>
              <w:t>As specified under section 1.2 of the Guidelines for Applicants, page 7, applicants are strongly encouraged to build strong partnerships for implementation of activities</w:t>
            </w:r>
            <w:r>
              <w:rPr>
                <w:rFonts w:ascii="Times New Roman" w:eastAsia="Times New Roman" w:hAnsi="Times New Roman" w:cs="Times New Roman"/>
                <w:bCs/>
                <w:color w:val="000000"/>
              </w:rPr>
              <w:t>, in particular with local partners</w:t>
            </w:r>
            <w:r w:rsidRPr="00CB32F7">
              <w:rPr>
                <w:rFonts w:ascii="Times New Roman" w:eastAsia="Times New Roman" w:hAnsi="Times New Roman" w:cs="Times New Roman"/>
                <w:bCs/>
                <w:color w:val="000000"/>
              </w:rPr>
              <w:t>.</w:t>
            </w:r>
            <w:r>
              <w:rPr>
                <w:rFonts w:ascii="Times New Roman" w:eastAsia="Times New Roman" w:hAnsi="Times New Roman" w:cs="Times New Roman"/>
                <w:bCs/>
                <w:color w:val="000000"/>
              </w:rPr>
              <w:t xml:space="preserve"> </w:t>
            </w:r>
          </w:p>
        </w:tc>
      </w:tr>
      <w:tr w:rsidR="00DD6B40" w:rsidRPr="00CB32F7" w14:paraId="4CE79962" w14:textId="77777777" w:rsidTr="00915BC1">
        <w:tc>
          <w:tcPr>
            <w:tcW w:w="851" w:type="dxa"/>
            <w:shd w:val="clear" w:color="auto" w:fill="FFFFFF" w:themeFill="background1"/>
          </w:tcPr>
          <w:p w14:paraId="3CD769B0" w14:textId="77777777" w:rsidR="00DD6B40" w:rsidRPr="00D91415" w:rsidRDefault="00DD6B40" w:rsidP="002D32F6">
            <w:pPr>
              <w:pStyle w:val="ListParagraph"/>
              <w:numPr>
                <w:ilvl w:val="0"/>
                <w:numId w:val="21"/>
              </w:numPr>
              <w:jc w:val="center"/>
              <w:rPr>
                <w:rFonts w:ascii="Times New Roman" w:eastAsia="Times New Roman" w:hAnsi="Times New Roman" w:cs="Times New Roman"/>
                <w:bCs/>
                <w:color w:val="000000"/>
              </w:rPr>
            </w:pPr>
          </w:p>
        </w:tc>
        <w:tc>
          <w:tcPr>
            <w:tcW w:w="6783" w:type="dxa"/>
            <w:shd w:val="clear" w:color="auto" w:fill="FFFFFF" w:themeFill="background1"/>
          </w:tcPr>
          <w:p w14:paraId="2EFE4740" w14:textId="77777777" w:rsidR="00DD6B40" w:rsidRPr="00CB32F7" w:rsidRDefault="00DD6B40" w:rsidP="00EA59DA">
            <w:pPr>
              <w:jc w:val="both"/>
              <w:rPr>
                <w:rFonts w:ascii="Times New Roman" w:eastAsia="Times New Roman" w:hAnsi="Times New Roman" w:cs="Times New Roman"/>
                <w:bCs/>
                <w:color w:val="000000"/>
              </w:rPr>
            </w:pPr>
            <w:r w:rsidRPr="00CB32F7">
              <w:rPr>
                <w:rFonts w:ascii="Times New Roman" w:eastAsia="Times New Roman" w:hAnsi="Times New Roman" w:cs="Times New Roman"/>
                <w:bCs/>
                <w:color w:val="000000"/>
              </w:rPr>
              <w:t xml:space="preserve">- Is a Joint Venture (local Social Enterprise) strong enough as a structural link to consider a shareholder as an Affiliate Entity in the Consortium? </w:t>
            </w:r>
          </w:p>
          <w:p w14:paraId="6C003292" w14:textId="77777777" w:rsidR="00DD6B40" w:rsidRPr="00CB32F7" w:rsidRDefault="00DD6B40" w:rsidP="00EA59DA">
            <w:pPr>
              <w:jc w:val="both"/>
              <w:rPr>
                <w:rFonts w:ascii="Times New Roman" w:eastAsia="Times New Roman" w:hAnsi="Times New Roman" w:cs="Times New Roman"/>
                <w:bCs/>
                <w:color w:val="000000"/>
              </w:rPr>
            </w:pPr>
          </w:p>
          <w:p w14:paraId="5EA10073" w14:textId="77777777" w:rsidR="00DD6B40" w:rsidRPr="00CB32F7" w:rsidRDefault="00DD6B40" w:rsidP="00EA59DA">
            <w:pPr>
              <w:jc w:val="both"/>
              <w:rPr>
                <w:rFonts w:ascii="Times New Roman" w:eastAsia="Times New Roman" w:hAnsi="Times New Roman" w:cs="Times New Roman"/>
                <w:bCs/>
                <w:color w:val="000000"/>
              </w:rPr>
            </w:pPr>
            <w:r w:rsidRPr="00CB32F7">
              <w:rPr>
                <w:rFonts w:ascii="Times New Roman" w:eastAsia="Times New Roman" w:hAnsi="Times New Roman" w:cs="Times New Roman"/>
                <w:bCs/>
                <w:color w:val="000000"/>
              </w:rPr>
              <w:t xml:space="preserve">- Is it acceptable if the Lead applicant (iNGO), one of the Co-Applicants (CSO) and one Affiliate Entity (private Company) are shareholders of the same company/Social Enterprise (Joint Venture)? </w:t>
            </w:r>
          </w:p>
          <w:p w14:paraId="193C762C" w14:textId="77777777" w:rsidR="00DD6B40" w:rsidRPr="00CB32F7" w:rsidRDefault="00DD6B40" w:rsidP="00EA59DA">
            <w:pPr>
              <w:jc w:val="both"/>
              <w:rPr>
                <w:rFonts w:ascii="Times New Roman" w:eastAsia="Times New Roman" w:hAnsi="Times New Roman" w:cs="Times New Roman"/>
                <w:bCs/>
                <w:color w:val="000000"/>
              </w:rPr>
            </w:pPr>
            <w:r w:rsidRPr="00CB32F7">
              <w:rPr>
                <w:rFonts w:ascii="Times New Roman" w:eastAsia="Times New Roman" w:hAnsi="Times New Roman" w:cs="Times New Roman"/>
                <w:bCs/>
                <w:color w:val="000000"/>
              </w:rPr>
              <w:t>- Is a Joint Venture (local Social Enterprise) strong enough as a structural link to consider a member of the Steering board of the Joint Venture as an Affiliate Entity in the Consortium?</w:t>
            </w:r>
          </w:p>
        </w:tc>
        <w:tc>
          <w:tcPr>
            <w:tcW w:w="6776" w:type="dxa"/>
            <w:shd w:val="clear" w:color="auto" w:fill="FFFFFF" w:themeFill="background1"/>
          </w:tcPr>
          <w:p w14:paraId="3F8E3081" w14:textId="77777777" w:rsidR="00DD6B40" w:rsidRPr="00CB32F7" w:rsidRDefault="00DD6B40" w:rsidP="00EA59DA">
            <w:pPr>
              <w:jc w:val="both"/>
              <w:rPr>
                <w:rFonts w:ascii="Times New Roman" w:eastAsia="Times New Roman" w:hAnsi="Times New Roman" w:cs="Times New Roman"/>
                <w:bCs/>
                <w:color w:val="000000"/>
              </w:rPr>
            </w:pPr>
            <w:r w:rsidRPr="00CB32F7">
              <w:rPr>
                <w:rFonts w:ascii="Times New Roman" w:eastAsia="Times New Roman" w:hAnsi="Times New Roman" w:cs="Times New Roman"/>
                <w:bCs/>
                <w:color w:val="000000"/>
              </w:rPr>
              <w:t>Please refer to sections 2.1.1 and 2.1.2 of the Guidelines for Applicants. The relationship between the lead applicant, co-applicant and affiliated entities will be verified using supporting documents submitted with the  Annex A of the Grant Application.</w:t>
            </w:r>
          </w:p>
        </w:tc>
      </w:tr>
      <w:tr w:rsidR="00DD6B40" w:rsidRPr="00CB32F7" w14:paraId="4AEA8F4E" w14:textId="77777777" w:rsidTr="00915BC1">
        <w:tc>
          <w:tcPr>
            <w:tcW w:w="851" w:type="dxa"/>
            <w:shd w:val="clear" w:color="auto" w:fill="FFFFFF" w:themeFill="background1"/>
          </w:tcPr>
          <w:p w14:paraId="6BF41A3E" w14:textId="77777777" w:rsidR="00DD6B40" w:rsidRPr="00CB32F7" w:rsidRDefault="00DD6B40" w:rsidP="002D32F6">
            <w:pPr>
              <w:pStyle w:val="ListParagraph"/>
              <w:numPr>
                <w:ilvl w:val="0"/>
                <w:numId w:val="21"/>
              </w:numPr>
              <w:jc w:val="center"/>
              <w:rPr>
                <w:rFonts w:ascii="Times New Roman" w:eastAsia="Times New Roman" w:hAnsi="Times New Roman" w:cs="Times New Roman"/>
                <w:bCs/>
                <w:color w:val="000000"/>
              </w:rPr>
            </w:pPr>
          </w:p>
        </w:tc>
        <w:tc>
          <w:tcPr>
            <w:tcW w:w="6783" w:type="dxa"/>
            <w:shd w:val="clear" w:color="auto" w:fill="FFFFFF" w:themeFill="background1"/>
          </w:tcPr>
          <w:p w14:paraId="0E9FADF8" w14:textId="77777777" w:rsidR="00DD6B40" w:rsidRPr="00CB32F7" w:rsidRDefault="00DD6B40" w:rsidP="00EA59DA">
            <w:pPr>
              <w:ind w:left="-54"/>
              <w:jc w:val="both"/>
              <w:rPr>
                <w:rFonts w:ascii="Times New Roman" w:eastAsia="Times New Roman" w:hAnsi="Times New Roman" w:cs="Times New Roman"/>
                <w:bCs/>
                <w:color w:val="000000"/>
              </w:rPr>
            </w:pPr>
            <w:r w:rsidRPr="00CB32F7">
              <w:rPr>
                <w:rFonts w:ascii="Times New Roman" w:eastAsia="Times New Roman" w:hAnsi="Times New Roman" w:cs="Times New Roman"/>
                <w:bCs/>
                <w:color w:val="000000"/>
              </w:rPr>
              <w:t xml:space="preserve">- Do existing DINU Implementing Partners eligible for grants under this Call? </w:t>
            </w:r>
          </w:p>
          <w:p w14:paraId="1EE1B6B9" w14:textId="77777777" w:rsidR="00DD6B40" w:rsidRPr="00CB32F7" w:rsidRDefault="00DD6B40" w:rsidP="00EA59DA">
            <w:pPr>
              <w:ind w:left="-54"/>
              <w:jc w:val="both"/>
              <w:rPr>
                <w:rFonts w:ascii="Times New Roman" w:eastAsia="Times New Roman" w:hAnsi="Times New Roman" w:cs="Times New Roman"/>
                <w:bCs/>
                <w:color w:val="000000"/>
              </w:rPr>
            </w:pPr>
          </w:p>
          <w:p w14:paraId="542B9074" w14:textId="77777777" w:rsidR="00DD6B40" w:rsidRPr="00CB32F7" w:rsidRDefault="00DD6B40" w:rsidP="00EA59DA">
            <w:pPr>
              <w:ind w:left="-54"/>
              <w:jc w:val="both"/>
              <w:rPr>
                <w:rFonts w:ascii="Times New Roman" w:eastAsia="Times New Roman" w:hAnsi="Times New Roman" w:cs="Times New Roman"/>
                <w:bCs/>
                <w:color w:val="000000"/>
              </w:rPr>
            </w:pPr>
            <w:r w:rsidRPr="00CB32F7">
              <w:rPr>
                <w:rFonts w:ascii="Times New Roman" w:eastAsia="Times New Roman" w:hAnsi="Times New Roman" w:cs="Times New Roman"/>
                <w:bCs/>
                <w:color w:val="000000"/>
              </w:rPr>
              <w:t>- If an organization is already in contractual agreement to implement DINU activities with one of the implementing partners (DFID/TMEA, GIZ, UNCDF or UNICEF), will they still be eligible to apply either as Lead Applicant or Co-Applicant or both? </w:t>
            </w:r>
          </w:p>
          <w:p w14:paraId="2651834A" w14:textId="77777777" w:rsidR="00DD6B40" w:rsidRPr="00CB32F7" w:rsidRDefault="00DD6B40" w:rsidP="00EA59DA">
            <w:pPr>
              <w:ind w:left="-54"/>
              <w:jc w:val="both"/>
              <w:rPr>
                <w:rFonts w:ascii="Times New Roman" w:eastAsia="Times New Roman" w:hAnsi="Times New Roman" w:cs="Times New Roman"/>
                <w:bCs/>
                <w:color w:val="000000"/>
              </w:rPr>
            </w:pPr>
          </w:p>
          <w:p w14:paraId="20267CDC" w14:textId="77777777" w:rsidR="00DD6B40" w:rsidRPr="00CB32F7" w:rsidRDefault="00DD6B40" w:rsidP="00EA59DA">
            <w:pPr>
              <w:ind w:left="-54"/>
              <w:jc w:val="both"/>
              <w:rPr>
                <w:rFonts w:ascii="Times New Roman" w:eastAsia="Times New Roman" w:hAnsi="Times New Roman" w:cs="Times New Roman"/>
                <w:bCs/>
                <w:color w:val="000000"/>
              </w:rPr>
            </w:pPr>
            <w:r w:rsidRPr="00CB32F7">
              <w:rPr>
                <w:rFonts w:ascii="Times New Roman" w:eastAsia="Times New Roman" w:hAnsi="Times New Roman" w:cs="Times New Roman"/>
                <w:bCs/>
                <w:color w:val="000000"/>
              </w:rPr>
              <w:t>- Are non-DINU activities implemented by DINU Implementing Partners satisfy the requirements under the priority issue relating to complementarities between activities under lots 1 and 2?</w:t>
            </w:r>
          </w:p>
        </w:tc>
        <w:tc>
          <w:tcPr>
            <w:tcW w:w="6776" w:type="dxa"/>
            <w:shd w:val="clear" w:color="auto" w:fill="FFFFFF" w:themeFill="background1"/>
          </w:tcPr>
          <w:p w14:paraId="7F90C8A1" w14:textId="77777777" w:rsidR="00DD6B40" w:rsidRPr="00CB32F7" w:rsidRDefault="00DD6B40" w:rsidP="00EA59DA">
            <w:pPr>
              <w:ind w:left="-54"/>
              <w:jc w:val="both"/>
              <w:rPr>
                <w:rFonts w:ascii="Times New Roman" w:eastAsia="Times New Roman" w:hAnsi="Times New Roman" w:cs="Times New Roman"/>
                <w:bCs/>
                <w:color w:val="000000"/>
              </w:rPr>
            </w:pPr>
            <w:r w:rsidRPr="00CB32F7">
              <w:rPr>
                <w:rFonts w:ascii="Times New Roman" w:eastAsia="Times New Roman" w:hAnsi="Times New Roman" w:cs="Times New Roman"/>
                <w:bCs/>
                <w:color w:val="000000"/>
              </w:rPr>
              <w:t xml:space="preserve">According to section 2.1.1 of the Guidelines for Applicants, page 12, implementing partners who have already signed a contract with the European Union under the DINU programme are not eligible as applicants. Their partners however are eligible to apply as lead applicants, co-applicants and/or affiliated entities, and/or associates as specified under section 2.1.1, 2.1.2, 2.1.3 of the Guidelines for Applicants. </w:t>
            </w:r>
          </w:p>
          <w:p w14:paraId="706DB7FB" w14:textId="77777777" w:rsidR="00DD6B40" w:rsidRPr="00CB32F7" w:rsidRDefault="00DD6B40" w:rsidP="00EA59DA">
            <w:pPr>
              <w:ind w:left="-54"/>
              <w:jc w:val="both"/>
              <w:rPr>
                <w:rFonts w:ascii="Times New Roman" w:eastAsia="Times New Roman" w:hAnsi="Times New Roman" w:cs="Times New Roman"/>
                <w:bCs/>
                <w:color w:val="000000"/>
              </w:rPr>
            </w:pPr>
          </w:p>
          <w:p w14:paraId="3C37FCD0" w14:textId="77777777" w:rsidR="00DD6B40" w:rsidRPr="00CB32F7" w:rsidRDefault="00DD6B40" w:rsidP="00EA59DA">
            <w:pPr>
              <w:ind w:left="-54"/>
              <w:jc w:val="both"/>
              <w:rPr>
                <w:rFonts w:ascii="Times New Roman" w:eastAsia="Times New Roman" w:hAnsi="Times New Roman" w:cs="Times New Roman"/>
                <w:bCs/>
                <w:color w:val="000000"/>
              </w:rPr>
            </w:pPr>
            <w:r w:rsidRPr="00CB32F7">
              <w:rPr>
                <w:rFonts w:ascii="Times New Roman" w:eastAsia="Times New Roman" w:hAnsi="Times New Roman" w:cs="Times New Roman"/>
                <w:bCs/>
                <w:color w:val="000000"/>
              </w:rPr>
              <w:t xml:space="preserve">As specified in section 1.2 of the Guidelines for Applicants under the 1st priority issue for Lot 1 and Lot 2, applicants should seek complementarities with ongoing interventions implemented by DINU Implementing Partners and/or are encouraged to coordinate and complement other relevant existing programmes and/or GoU initiatives in Northern Uganda. These activities should be relevant </w:t>
            </w:r>
            <w:r>
              <w:rPr>
                <w:rFonts w:ascii="Times New Roman" w:eastAsia="Times New Roman" w:hAnsi="Times New Roman" w:cs="Times New Roman"/>
                <w:bCs/>
                <w:color w:val="000000"/>
              </w:rPr>
              <w:t xml:space="preserve">to the programme objectives/results/activities. </w:t>
            </w:r>
          </w:p>
        </w:tc>
      </w:tr>
      <w:tr w:rsidR="00DD6B40" w:rsidRPr="00CB32F7" w14:paraId="791DE674" w14:textId="77777777" w:rsidTr="00915BC1">
        <w:tc>
          <w:tcPr>
            <w:tcW w:w="851" w:type="dxa"/>
            <w:shd w:val="clear" w:color="auto" w:fill="FFFFFF" w:themeFill="background1"/>
          </w:tcPr>
          <w:p w14:paraId="238871B7" w14:textId="77777777" w:rsidR="00DD6B40" w:rsidRPr="00CB32F7" w:rsidRDefault="00DD6B40" w:rsidP="002D32F6">
            <w:pPr>
              <w:pStyle w:val="ListParagraph"/>
              <w:numPr>
                <w:ilvl w:val="0"/>
                <w:numId w:val="21"/>
              </w:numPr>
              <w:jc w:val="center"/>
              <w:rPr>
                <w:rFonts w:ascii="Times New Roman" w:eastAsia="Times New Roman" w:hAnsi="Times New Roman" w:cs="Times New Roman"/>
                <w:bCs/>
                <w:color w:val="000000"/>
              </w:rPr>
            </w:pPr>
          </w:p>
        </w:tc>
        <w:tc>
          <w:tcPr>
            <w:tcW w:w="6783" w:type="dxa"/>
            <w:shd w:val="clear" w:color="auto" w:fill="FFFFFF" w:themeFill="background1"/>
          </w:tcPr>
          <w:p w14:paraId="447F2CCE" w14:textId="77777777" w:rsidR="00DD6B40" w:rsidRPr="00CB32F7" w:rsidRDefault="00DD6B40" w:rsidP="00EA59DA">
            <w:pPr>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w:t>
            </w:r>
            <w:r w:rsidRPr="00CB32F7">
              <w:rPr>
                <w:rFonts w:ascii="Times New Roman" w:eastAsia="Times New Roman" w:hAnsi="Times New Roman" w:cs="Times New Roman"/>
                <w:bCs/>
                <w:color w:val="000000"/>
              </w:rPr>
              <w:t>Could you provide more clarity on partnerships-how many/ what is the limit?</w:t>
            </w:r>
          </w:p>
        </w:tc>
        <w:tc>
          <w:tcPr>
            <w:tcW w:w="6776" w:type="dxa"/>
            <w:shd w:val="clear" w:color="auto" w:fill="FFFFFF" w:themeFill="background1"/>
          </w:tcPr>
          <w:p w14:paraId="5DE6C4EF" w14:textId="77777777" w:rsidR="00DD6B40" w:rsidRPr="00CB32F7" w:rsidRDefault="00DD6B40" w:rsidP="00EA59DA">
            <w:pPr>
              <w:jc w:val="both"/>
              <w:rPr>
                <w:rFonts w:ascii="Times New Roman" w:eastAsia="Times New Roman" w:hAnsi="Times New Roman" w:cs="Times New Roman"/>
                <w:bCs/>
                <w:color w:val="000000"/>
              </w:rPr>
            </w:pPr>
            <w:r w:rsidRPr="00CB32F7">
              <w:rPr>
                <w:rFonts w:ascii="Times New Roman" w:eastAsia="Times New Roman" w:hAnsi="Times New Roman" w:cs="Times New Roman"/>
                <w:bCs/>
                <w:color w:val="000000"/>
              </w:rPr>
              <w:t>As specified under section 1.2 of the Guidelines for Applicants, page 7, applicants are strongly encouraged to build strong partnerships for implementation of activities</w:t>
            </w:r>
            <w:r>
              <w:rPr>
                <w:rFonts w:ascii="Times New Roman" w:eastAsia="Times New Roman" w:hAnsi="Times New Roman" w:cs="Times New Roman"/>
                <w:bCs/>
                <w:color w:val="000000"/>
              </w:rPr>
              <w:t>, in particular with local partners</w:t>
            </w:r>
            <w:r w:rsidRPr="00CB32F7">
              <w:rPr>
                <w:rFonts w:ascii="Times New Roman" w:eastAsia="Times New Roman" w:hAnsi="Times New Roman" w:cs="Times New Roman"/>
                <w:bCs/>
                <w:color w:val="000000"/>
              </w:rPr>
              <w:t xml:space="preserve">. No limit is foreseen for partnerships. Partners will either be lead applicant, co-applicant(s), affiliated entity(ies), associate(s) or third party(ies).   </w:t>
            </w:r>
          </w:p>
        </w:tc>
      </w:tr>
      <w:tr w:rsidR="00DD6B40" w:rsidRPr="00914BD3" w14:paraId="02AFB412" w14:textId="77777777" w:rsidTr="00915BC1">
        <w:tc>
          <w:tcPr>
            <w:tcW w:w="851" w:type="dxa"/>
            <w:shd w:val="clear" w:color="auto" w:fill="FFFFFF" w:themeFill="background1"/>
          </w:tcPr>
          <w:p w14:paraId="481DE6E4" w14:textId="77777777" w:rsidR="00DD6B40" w:rsidRPr="00914BD3" w:rsidRDefault="00DD6B40" w:rsidP="002D32F6">
            <w:pPr>
              <w:pStyle w:val="ListParagraph"/>
              <w:numPr>
                <w:ilvl w:val="0"/>
                <w:numId w:val="21"/>
              </w:numPr>
              <w:jc w:val="center"/>
              <w:rPr>
                <w:rFonts w:ascii="Times New Roman" w:eastAsia="Times New Roman" w:hAnsi="Times New Roman" w:cs="Times New Roman"/>
                <w:bCs/>
                <w:color w:val="000000"/>
              </w:rPr>
            </w:pPr>
          </w:p>
        </w:tc>
        <w:tc>
          <w:tcPr>
            <w:tcW w:w="6783" w:type="dxa"/>
            <w:shd w:val="clear" w:color="auto" w:fill="FFFFFF" w:themeFill="background1"/>
          </w:tcPr>
          <w:p w14:paraId="3E2FA746" w14:textId="77777777" w:rsidR="00DD6B40" w:rsidRPr="00B224A8" w:rsidRDefault="00DD6B40" w:rsidP="00EA59DA">
            <w:pPr>
              <w:ind w:left="-54"/>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w:t>
            </w:r>
            <w:r w:rsidRPr="0071629B">
              <w:rPr>
                <w:rFonts w:ascii="Times New Roman" w:eastAsia="Times New Roman" w:hAnsi="Times New Roman" w:cs="Times New Roman"/>
                <w:bCs/>
                <w:color w:val="000000"/>
              </w:rPr>
              <w:t>Please can you confirm if the no profit rules would apply in the case of the involvement of a company with a for-profit company in a proposal?</w:t>
            </w:r>
          </w:p>
        </w:tc>
        <w:tc>
          <w:tcPr>
            <w:tcW w:w="6776" w:type="dxa"/>
            <w:shd w:val="clear" w:color="auto" w:fill="FFFFFF" w:themeFill="background1"/>
          </w:tcPr>
          <w:p w14:paraId="4530F83A" w14:textId="77777777" w:rsidR="00DD6B40" w:rsidRPr="007B53B8" w:rsidRDefault="00DD6B40" w:rsidP="00EA59DA">
            <w:pPr>
              <w:ind w:left="-54"/>
              <w:jc w:val="both"/>
              <w:rPr>
                <w:rFonts w:ascii="Times New Roman" w:eastAsia="Times New Roman" w:hAnsi="Times New Roman" w:cs="Times New Roman"/>
                <w:bCs/>
                <w:color w:val="000000"/>
              </w:rPr>
            </w:pPr>
            <w:r w:rsidRPr="001B6C0A">
              <w:rPr>
                <w:rFonts w:ascii="Times New Roman" w:eastAsia="Times New Roman" w:hAnsi="Times New Roman" w:cs="Times New Roman"/>
                <w:bCs/>
                <w:color w:val="000000"/>
              </w:rPr>
              <w:t>According to section 2.1.1 of the Guidelines for Applicants, page 11, it should be noted “that grants under this Call shall not have the sole purpose of producing a profit within the framework of the action or the work programme. In case, a private sector organisation is selected for a grant, this element shall be clarified and validated during Step 2 of the application process.”</w:t>
            </w:r>
          </w:p>
        </w:tc>
      </w:tr>
      <w:tr w:rsidR="00DD6B40" w:rsidRPr="00914BD3" w14:paraId="4969521C" w14:textId="77777777" w:rsidTr="00915BC1">
        <w:tc>
          <w:tcPr>
            <w:tcW w:w="851" w:type="dxa"/>
            <w:shd w:val="clear" w:color="auto" w:fill="FFFFFF" w:themeFill="background1"/>
          </w:tcPr>
          <w:p w14:paraId="64E4BAA4" w14:textId="77777777" w:rsidR="00DD6B40" w:rsidRPr="00914BD3" w:rsidRDefault="00DD6B40" w:rsidP="002D32F6">
            <w:pPr>
              <w:pStyle w:val="ListParagraph"/>
              <w:numPr>
                <w:ilvl w:val="0"/>
                <w:numId w:val="21"/>
              </w:numPr>
              <w:jc w:val="center"/>
              <w:rPr>
                <w:rFonts w:ascii="Times New Roman" w:eastAsia="Times New Roman" w:hAnsi="Times New Roman" w:cs="Times New Roman"/>
                <w:bCs/>
                <w:color w:val="000000"/>
              </w:rPr>
            </w:pPr>
          </w:p>
        </w:tc>
        <w:tc>
          <w:tcPr>
            <w:tcW w:w="6783" w:type="dxa"/>
            <w:shd w:val="clear" w:color="auto" w:fill="FFFFFF" w:themeFill="background1"/>
          </w:tcPr>
          <w:p w14:paraId="35D924F5" w14:textId="77777777" w:rsidR="00DD6B40" w:rsidRDefault="00DD6B40" w:rsidP="00EA59DA">
            <w:pPr>
              <w:ind w:left="-54"/>
              <w:jc w:val="both"/>
              <w:rPr>
                <w:rFonts w:ascii="Times New Roman" w:eastAsia="Times New Roman" w:hAnsi="Times New Roman" w:cs="Times New Roman"/>
                <w:bCs/>
                <w:color w:val="000000"/>
              </w:rPr>
            </w:pPr>
            <w:r w:rsidRPr="00331B16">
              <w:rPr>
                <w:rFonts w:ascii="Times New Roman" w:eastAsia="Times New Roman" w:hAnsi="Times New Roman" w:cs="Times New Roman"/>
                <w:bCs/>
                <w:color w:val="000000"/>
              </w:rPr>
              <w:t>Could zonal offices in the beneficiary region be considered as permanent offices of the applicant?</w:t>
            </w:r>
          </w:p>
        </w:tc>
        <w:tc>
          <w:tcPr>
            <w:tcW w:w="6776" w:type="dxa"/>
            <w:shd w:val="clear" w:color="auto" w:fill="FFFFFF" w:themeFill="background1"/>
          </w:tcPr>
          <w:p w14:paraId="666B9CC0" w14:textId="77777777" w:rsidR="00DD6B40" w:rsidRDefault="00DD6B40" w:rsidP="00EA59DA">
            <w:pPr>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Refer to section 2.1.1 of the Guidelines for Applicants where it is required that applicants "have an operational presence in the Republic of Uganda and, if possible in the proposed areas of intervention with a permanent office and technical staff"</w:t>
            </w:r>
          </w:p>
        </w:tc>
      </w:tr>
      <w:tr w:rsidR="00DD6B40" w:rsidRPr="00D91415" w14:paraId="7D8E6F17" w14:textId="77777777" w:rsidTr="00915BC1">
        <w:tc>
          <w:tcPr>
            <w:tcW w:w="851" w:type="dxa"/>
            <w:shd w:val="clear" w:color="auto" w:fill="FFFFFF" w:themeFill="background1"/>
          </w:tcPr>
          <w:p w14:paraId="1BAE4549" w14:textId="77777777" w:rsidR="00DD6B40" w:rsidRPr="00D91415" w:rsidRDefault="00DD6B40" w:rsidP="002D32F6">
            <w:pPr>
              <w:pStyle w:val="ListParagraph"/>
              <w:numPr>
                <w:ilvl w:val="0"/>
                <w:numId w:val="21"/>
              </w:numPr>
              <w:jc w:val="center"/>
              <w:rPr>
                <w:rFonts w:ascii="Times New Roman" w:eastAsia="Times New Roman" w:hAnsi="Times New Roman" w:cs="Times New Roman"/>
                <w:bCs/>
                <w:color w:val="000000"/>
              </w:rPr>
            </w:pPr>
          </w:p>
        </w:tc>
        <w:tc>
          <w:tcPr>
            <w:tcW w:w="6783" w:type="dxa"/>
            <w:shd w:val="clear" w:color="auto" w:fill="FFFFFF" w:themeFill="background1"/>
          </w:tcPr>
          <w:p w14:paraId="03E88FAD" w14:textId="77777777" w:rsidR="00F47159" w:rsidRDefault="00F47159" w:rsidP="002D32F6">
            <w:pPr>
              <w:ind w:left="-54"/>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w:t>
            </w:r>
            <w:r w:rsidRPr="00CB32F7">
              <w:rPr>
                <w:rFonts w:ascii="Times New Roman" w:eastAsia="Times New Roman" w:hAnsi="Times New Roman" w:cs="Times New Roman"/>
                <w:bCs/>
                <w:color w:val="000000"/>
              </w:rPr>
              <w:t>What measures are in place to ensure that all DINU districts benefit from this Call?</w:t>
            </w:r>
          </w:p>
          <w:p w14:paraId="1D7866F0" w14:textId="77777777" w:rsidR="00F47159" w:rsidRDefault="00F47159" w:rsidP="002D32F6">
            <w:pPr>
              <w:ind w:left="-54"/>
              <w:jc w:val="both"/>
              <w:rPr>
                <w:rFonts w:ascii="Times New Roman" w:eastAsia="Times New Roman" w:hAnsi="Times New Roman" w:cs="Times New Roman"/>
                <w:bCs/>
                <w:color w:val="000000"/>
              </w:rPr>
            </w:pPr>
          </w:p>
          <w:p w14:paraId="21AE58B6" w14:textId="0BDC93A0" w:rsidR="007845F8" w:rsidRDefault="00DD6B40" w:rsidP="002D32F6">
            <w:pPr>
              <w:ind w:left="-54"/>
              <w:jc w:val="both"/>
              <w:rPr>
                <w:rFonts w:ascii="Times New Roman" w:eastAsia="Times New Roman" w:hAnsi="Times New Roman" w:cs="Times New Roman"/>
                <w:bCs/>
                <w:color w:val="000000"/>
              </w:rPr>
            </w:pPr>
            <w:r w:rsidRPr="00CB32F7">
              <w:rPr>
                <w:rFonts w:ascii="Times New Roman" w:eastAsia="Times New Roman" w:hAnsi="Times New Roman" w:cs="Times New Roman"/>
                <w:bCs/>
                <w:color w:val="000000"/>
              </w:rPr>
              <w:t>- What is the minimum number of districts to select if you ar</w:t>
            </w:r>
            <w:r w:rsidR="007845F8">
              <w:rPr>
                <w:rFonts w:ascii="Times New Roman" w:eastAsia="Times New Roman" w:hAnsi="Times New Roman" w:cs="Times New Roman"/>
                <w:bCs/>
                <w:color w:val="000000"/>
              </w:rPr>
              <w:t xml:space="preserve">e applying in various regions? </w:t>
            </w:r>
          </w:p>
          <w:p w14:paraId="2B35C4C0" w14:textId="77777777" w:rsidR="007845F8" w:rsidRDefault="007845F8" w:rsidP="002D32F6">
            <w:pPr>
              <w:ind w:left="-54"/>
              <w:jc w:val="both"/>
              <w:rPr>
                <w:rFonts w:ascii="Times New Roman" w:eastAsia="Times New Roman" w:hAnsi="Times New Roman" w:cs="Times New Roman"/>
                <w:bCs/>
                <w:color w:val="000000"/>
              </w:rPr>
            </w:pPr>
          </w:p>
          <w:p w14:paraId="02CE4CD7" w14:textId="77777777" w:rsidR="007845F8" w:rsidRDefault="00DD6B40" w:rsidP="002D32F6">
            <w:pPr>
              <w:ind w:left="-54"/>
              <w:jc w:val="both"/>
              <w:rPr>
                <w:rFonts w:ascii="Times New Roman" w:eastAsia="Times New Roman" w:hAnsi="Times New Roman" w:cs="Times New Roman"/>
                <w:bCs/>
                <w:color w:val="000000"/>
              </w:rPr>
            </w:pPr>
            <w:r w:rsidRPr="00CB32F7">
              <w:rPr>
                <w:rFonts w:ascii="Times New Roman" w:eastAsia="Times New Roman" w:hAnsi="Times New Roman" w:cs="Times New Roman"/>
                <w:bCs/>
                <w:color w:val="000000"/>
              </w:rPr>
              <w:t>- Is there a limit on the number of districts per region? How many districts should an applicant target per regio</w:t>
            </w:r>
            <w:r w:rsidR="007845F8">
              <w:rPr>
                <w:rFonts w:ascii="Times New Roman" w:eastAsia="Times New Roman" w:hAnsi="Times New Roman" w:cs="Times New Roman"/>
                <w:bCs/>
                <w:color w:val="000000"/>
              </w:rPr>
              <w:t>n?</w:t>
            </w:r>
          </w:p>
          <w:p w14:paraId="1B02B03B" w14:textId="77777777" w:rsidR="007845F8" w:rsidRDefault="007845F8" w:rsidP="002D32F6">
            <w:pPr>
              <w:ind w:left="-54"/>
              <w:jc w:val="both"/>
              <w:rPr>
                <w:rFonts w:ascii="Times New Roman" w:eastAsia="Times New Roman" w:hAnsi="Times New Roman" w:cs="Times New Roman"/>
                <w:bCs/>
                <w:color w:val="000000"/>
              </w:rPr>
            </w:pPr>
          </w:p>
          <w:p w14:paraId="57356F13" w14:textId="77777777" w:rsidR="007845F8" w:rsidRDefault="00DD6B40" w:rsidP="002D32F6">
            <w:pPr>
              <w:ind w:left="-54"/>
              <w:jc w:val="both"/>
              <w:rPr>
                <w:rFonts w:ascii="Times New Roman" w:eastAsia="Times New Roman" w:hAnsi="Times New Roman" w:cs="Times New Roman"/>
                <w:bCs/>
                <w:color w:val="000000"/>
              </w:rPr>
            </w:pPr>
            <w:r w:rsidRPr="00CB32F7">
              <w:rPr>
                <w:rFonts w:ascii="Times New Roman" w:eastAsia="Times New Roman" w:hAnsi="Times New Roman" w:cs="Times New Roman"/>
                <w:bCs/>
                <w:color w:val="000000"/>
              </w:rPr>
              <w:t>- Can one confirm that Concept Note does not have to cover all dist</w:t>
            </w:r>
            <w:r w:rsidR="007845F8">
              <w:rPr>
                <w:rFonts w:ascii="Times New Roman" w:eastAsia="Times New Roman" w:hAnsi="Times New Roman" w:cs="Times New Roman"/>
                <w:bCs/>
                <w:color w:val="000000"/>
              </w:rPr>
              <w:t>ricts of the sub-region chosen?</w:t>
            </w:r>
          </w:p>
          <w:p w14:paraId="0DBA64B9" w14:textId="77777777" w:rsidR="007845F8" w:rsidRDefault="007845F8" w:rsidP="002D32F6">
            <w:pPr>
              <w:ind w:left="-54"/>
              <w:jc w:val="both"/>
              <w:rPr>
                <w:rFonts w:ascii="Times New Roman" w:eastAsia="Times New Roman" w:hAnsi="Times New Roman" w:cs="Times New Roman"/>
                <w:bCs/>
                <w:color w:val="000000"/>
              </w:rPr>
            </w:pPr>
          </w:p>
          <w:p w14:paraId="155E1DE4" w14:textId="77777777" w:rsidR="007845F8" w:rsidRDefault="00DD6B40" w:rsidP="002D32F6">
            <w:pPr>
              <w:ind w:left="-54"/>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w:t>
            </w:r>
            <w:r w:rsidRPr="00CB32F7">
              <w:rPr>
                <w:rFonts w:ascii="Times New Roman" w:eastAsia="Times New Roman" w:hAnsi="Times New Roman" w:cs="Times New Roman"/>
                <w:bCs/>
                <w:color w:val="000000"/>
              </w:rPr>
              <w:t xml:space="preserve">Is it a must that if one implements actions in two regions that one must cover all eligible districts in each region or can one select specific districts? </w:t>
            </w:r>
          </w:p>
          <w:p w14:paraId="6174F4D5" w14:textId="77777777" w:rsidR="007845F8" w:rsidRDefault="007845F8" w:rsidP="002D32F6">
            <w:pPr>
              <w:ind w:left="-54"/>
              <w:jc w:val="both"/>
              <w:rPr>
                <w:rFonts w:ascii="Times New Roman" w:eastAsia="Times New Roman" w:hAnsi="Times New Roman" w:cs="Times New Roman"/>
                <w:bCs/>
                <w:color w:val="000000"/>
              </w:rPr>
            </w:pPr>
          </w:p>
          <w:p w14:paraId="3CDA6BC4" w14:textId="77777777" w:rsidR="007845F8" w:rsidRDefault="00DD6B40" w:rsidP="002D32F6">
            <w:pPr>
              <w:ind w:left="-54"/>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w:t>
            </w:r>
            <w:r w:rsidRPr="00CB32F7">
              <w:rPr>
                <w:rFonts w:ascii="Times New Roman" w:eastAsia="Times New Roman" w:hAnsi="Times New Roman" w:cs="Times New Roman"/>
                <w:bCs/>
                <w:color w:val="000000"/>
              </w:rPr>
              <w:t xml:space="preserve">Should interventions cover the entire district or can be implemented in some sub-counties, municipal or town councils? </w:t>
            </w:r>
          </w:p>
          <w:p w14:paraId="1F11B9D4" w14:textId="77777777" w:rsidR="007845F8" w:rsidRDefault="007845F8" w:rsidP="002D32F6">
            <w:pPr>
              <w:ind w:left="-54"/>
              <w:jc w:val="both"/>
              <w:rPr>
                <w:rFonts w:ascii="Times New Roman" w:eastAsia="Times New Roman" w:hAnsi="Times New Roman" w:cs="Times New Roman"/>
                <w:bCs/>
                <w:color w:val="000000"/>
              </w:rPr>
            </w:pPr>
          </w:p>
          <w:p w14:paraId="4F4DF33E" w14:textId="77777777" w:rsidR="007845F8" w:rsidRDefault="00DD6B40" w:rsidP="002D32F6">
            <w:pPr>
              <w:ind w:left="-54"/>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w:t>
            </w:r>
            <w:r w:rsidRPr="00CB32F7">
              <w:rPr>
                <w:rFonts w:ascii="Times New Roman" w:eastAsia="Times New Roman" w:hAnsi="Times New Roman" w:cs="Times New Roman"/>
                <w:bCs/>
                <w:color w:val="000000"/>
              </w:rPr>
              <w:t>How many districts per sub region is considered effective for minimum acceptable outreach?</w:t>
            </w:r>
          </w:p>
          <w:p w14:paraId="76F263BC" w14:textId="77777777" w:rsidR="007845F8" w:rsidRDefault="007845F8" w:rsidP="002D32F6">
            <w:pPr>
              <w:ind w:left="-54"/>
              <w:jc w:val="both"/>
              <w:rPr>
                <w:rFonts w:ascii="Times New Roman" w:eastAsia="Times New Roman" w:hAnsi="Times New Roman" w:cs="Times New Roman"/>
                <w:bCs/>
                <w:color w:val="000000"/>
              </w:rPr>
            </w:pPr>
          </w:p>
          <w:p w14:paraId="4E485AE7" w14:textId="11F3E92C" w:rsidR="00822D36" w:rsidRPr="00CB32F7" w:rsidRDefault="00DD6B40" w:rsidP="002D32F6">
            <w:pPr>
              <w:ind w:left="-54"/>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w:t>
            </w:r>
            <w:r w:rsidRPr="00CB32F7">
              <w:rPr>
                <w:rFonts w:ascii="Times New Roman" w:eastAsia="Times New Roman" w:hAnsi="Times New Roman" w:cs="Times New Roman"/>
                <w:bCs/>
                <w:color w:val="000000"/>
              </w:rPr>
              <w:t>When selecting a cluster, must you target all districts in that cluster?</w:t>
            </w:r>
          </w:p>
        </w:tc>
        <w:tc>
          <w:tcPr>
            <w:tcW w:w="6776" w:type="dxa"/>
            <w:shd w:val="clear" w:color="auto" w:fill="FFFFFF" w:themeFill="background1"/>
          </w:tcPr>
          <w:p w14:paraId="48D4379E" w14:textId="77777777" w:rsidR="00DD6B40" w:rsidRDefault="00DD6B40" w:rsidP="00EA59DA">
            <w:pPr>
              <w:jc w:val="both"/>
              <w:rPr>
                <w:rFonts w:ascii="Times New Roman" w:hAnsi="Times New Roman" w:cs="Times New Roman"/>
              </w:rPr>
            </w:pPr>
            <w:r w:rsidRPr="00CB32F7">
              <w:rPr>
                <w:rFonts w:ascii="Times New Roman" w:hAnsi="Times New Roman" w:cs="Times New Roman"/>
              </w:rPr>
              <w:t>Actions must take place in Northern Uganda in the 33 eligible districts plus the newly created and operating districts of the following sub region(s): Acholi, Karamoja, L</w:t>
            </w:r>
            <w:r>
              <w:rPr>
                <w:rFonts w:ascii="Times New Roman" w:hAnsi="Times New Roman" w:cs="Times New Roman"/>
              </w:rPr>
              <w:t xml:space="preserve">ango, Teso and West Nile, </w:t>
            </w:r>
            <w:r w:rsidRPr="00CB32F7">
              <w:rPr>
                <w:rFonts w:ascii="Times New Roman" w:hAnsi="Times New Roman" w:cs="Times New Roman"/>
              </w:rPr>
              <w:t>as specified in section 2.1.4 of the Guidelines for Applicants (page 14).</w:t>
            </w:r>
          </w:p>
          <w:p w14:paraId="1066913A" w14:textId="77777777" w:rsidR="00DD6B40" w:rsidRDefault="00DD6B40" w:rsidP="00EA59DA">
            <w:pPr>
              <w:jc w:val="both"/>
              <w:rPr>
                <w:rFonts w:ascii="Times New Roman" w:hAnsi="Times New Roman" w:cs="Times New Roman"/>
              </w:rPr>
            </w:pPr>
          </w:p>
          <w:p w14:paraId="49DE15F7" w14:textId="2D0422DA" w:rsidR="00DD6B40" w:rsidRDefault="00DD6B40" w:rsidP="00EA59DA">
            <w:pPr>
              <w:jc w:val="both"/>
              <w:rPr>
                <w:rFonts w:ascii="Times New Roman" w:hAnsi="Times New Roman" w:cs="Times New Roman"/>
              </w:rPr>
            </w:pPr>
            <w:r w:rsidRPr="00CB32F7">
              <w:rPr>
                <w:rFonts w:ascii="Times New Roman" w:hAnsi="Times New Roman" w:cs="Times New Roman"/>
              </w:rPr>
              <w:t>The Call does not specify the minimum or maximum number of districts per sub-region</w:t>
            </w:r>
            <w:r>
              <w:rPr>
                <w:rFonts w:ascii="Times New Roman" w:hAnsi="Times New Roman" w:cs="Times New Roman"/>
              </w:rPr>
              <w:t xml:space="preserve"> or cluster</w:t>
            </w:r>
            <w:r w:rsidRPr="00CB32F7">
              <w:rPr>
                <w:rFonts w:ascii="Times New Roman" w:hAnsi="Times New Roman" w:cs="Times New Roman"/>
              </w:rPr>
              <w:t>. The number of districts to be covered in chosen sub-region(s)</w:t>
            </w:r>
            <w:r>
              <w:rPr>
                <w:rFonts w:ascii="Times New Roman" w:hAnsi="Times New Roman" w:cs="Times New Roman"/>
              </w:rPr>
              <w:t xml:space="preserve"> or cluster(s) or </w:t>
            </w:r>
            <w:r w:rsidRPr="00CB32F7">
              <w:rPr>
                <w:rFonts w:ascii="Times New Roman" w:hAnsi="Times New Roman" w:cs="Times New Roman"/>
              </w:rPr>
              <w:t xml:space="preserve">within the district(s) is to be determined by the applicant based on the proposed action(s). </w:t>
            </w:r>
          </w:p>
          <w:p w14:paraId="464B37F0" w14:textId="77777777" w:rsidR="007845F8" w:rsidRDefault="007845F8" w:rsidP="00EA59DA">
            <w:pPr>
              <w:jc w:val="both"/>
              <w:rPr>
                <w:rFonts w:ascii="Times New Roman" w:hAnsi="Times New Roman" w:cs="Times New Roman"/>
              </w:rPr>
            </w:pPr>
          </w:p>
          <w:p w14:paraId="0E336F4D" w14:textId="77777777" w:rsidR="00DD6B40" w:rsidRDefault="00DD6B40" w:rsidP="00EA59DA">
            <w:pPr>
              <w:jc w:val="both"/>
              <w:rPr>
                <w:rFonts w:ascii="Times New Roman" w:hAnsi="Times New Roman" w:cs="Times New Roman"/>
              </w:rPr>
            </w:pPr>
          </w:p>
          <w:p w14:paraId="664198C3" w14:textId="77777777" w:rsidR="00DD6B40" w:rsidRPr="00D91415" w:rsidRDefault="00DD6B40" w:rsidP="00EA59DA">
            <w:pPr>
              <w:jc w:val="both"/>
              <w:rPr>
                <w:rFonts w:ascii="Times New Roman" w:hAnsi="Times New Roman" w:cs="Times New Roman"/>
              </w:rPr>
            </w:pPr>
          </w:p>
        </w:tc>
      </w:tr>
      <w:tr w:rsidR="007845F8" w:rsidRPr="00D91415" w14:paraId="2A87DA38" w14:textId="77777777" w:rsidTr="00915BC1">
        <w:tc>
          <w:tcPr>
            <w:tcW w:w="851" w:type="dxa"/>
            <w:shd w:val="clear" w:color="auto" w:fill="FFFFFF" w:themeFill="background1"/>
          </w:tcPr>
          <w:p w14:paraId="32ECC109" w14:textId="77777777" w:rsidR="007845F8" w:rsidRPr="00D91415" w:rsidRDefault="007845F8" w:rsidP="002D32F6">
            <w:pPr>
              <w:pStyle w:val="ListParagraph"/>
              <w:numPr>
                <w:ilvl w:val="0"/>
                <w:numId w:val="21"/>
              </w:numPr>
              <w:jc w:val="center"/>
              <w:rPr>
                <w:rFonts w:ascii="Times New Roman" w:eastAsia="Times New Roman" w:hAnsi="Times New Roman" w:cs="Times New Roman"/>
                <w:bCs/>
                <w:color w:val="000000"/>
              </w:rPr>
            </w:pPr>
          </w:p>
        </w:tc>
        <w:tc>
          <w:tcPr>
            <w:tcW w:w="6783" w:type="dxa"/>
            <w:shd w:val="clear" w:color="auto" w:fill="FFFFFF" w:themeFill="background1"/>
          </w:tcPr>
          <w:p w14:paraId="63898BB1" w14:textId="77777777" w:rsidR="007845F8" w:rsidRDefault="007845F8" w:rsidP="00EA59DA">
            <w:pPr>
              <w:ind w:left="-54"/>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w:t>
            </w:r>
            <w:r w:rsidRPr="007845F8">
              <w:rPr>
                <w:rFonts w:ascii="Times New Roman" w:eastAsia="Times New Roman" w:hAnsi="Times New Roman" w:cs="Times New Roman"/>
                <w:bCs/>
                <w:color w:val="000000"/>
              </w:rPr>
              <w:t>Why do some districts appear in more than one cluster?</w:t>
            </w:r>
          </w:p>
          <w:p w14:paraId="6F5D90CE" w14:textId="77777777" w:rsidR="00030292" w:rsidRDefault="00030292" w:rsidP="00EA59DA">
            <w:pPr>
              <w:ind w:left="-54"/>
              <w:jc w:val="both"/>
              <w:rPr>
                <w:rFonts w:ascii="Times New Roman" w:eastAsia="Times New Roman" w:hAnsi="Times New Roman" w:cs="Times New Roman"/>
                <w:bCs/>
                <w:color w:val="000000"/>
              </w:rPr>
            </w:pPr>
          </w:p>
          <w:p w14:paraId="1F3A29E6" w14:textId="77777777" w:rsidR="00030292" w:rsidRDefault="00030292" w:rsidP="00EA59DA">
            <w:pPr>
              <w:ind w:left="-54"/>
              <w:jc w:val="both"/>
              <w:rPr>
                <w:rFonts w:ascii="Times New Roman" w:eastAsia="Times New Roman" w:hAnsi="Times New Roman" w:cs="Times New Roman"/>
                <w:bCs/>
                <w:color w:val="000000"/>
              </w:rPr>
            </w:pPr>
          </w:p>
          <w:p w14:paraId="315746D4" w14:textId="77777777" w:rsidR="00030292" w:rsidRDefault="00030292" w:rsidP="00EA59DA">
            <w:pPr>
              <w:ind w:left="-54"/>
              <w:jc w:val="both"/>
              <w:rPr>
                <w:rFonts w:ascii="Times New Roman" w:eastAsia="Times New Roman" w:hAnsi="Times New Roman" w:cs="Times New Roman"/>
                <w:bCs/>
                <w:color w:val="000000"/>
              </w:rPr>
            </w:pPr>
          </w:p>
          <w:p w14:paraId="2078AA01" w14:textId="77777777" w:rsidR="00030292" w:rsidRDefault="00030292" w:rsidP="00EA59DA">
            <w:pPr>
              <w:ind w:left="-54"/>
              <w:jc w:val="both"/>
              <w:rPr>
                <w:rFonts w:ascii="Times New Roman" w:eastAsia="Times New Roman" w:hAnsi="Times New Roman" w:cs="Times New Roman"/>
                <w:bCs/>
                <w:color w:val="000000"/>
              </w:rPr>
            </w:pPr>
          </w:p>
          <w:p w14:paraId="61DC67F2" w14:textId="77777777" w:rsidR="00030292" w:rsidRDefault="00030292" w:rsidP="00EA59DA">
            <w:pPr>
              <w:ind w:left="-54"/>
              <w:jc w:val="both"/>
              <w:rPr>
                <w:rFonts w:ascii="Times New Roman" w:eastAsia="Times New Roman" w:hAnsi="Times New Roman" w:cs="Times New Roman"/>
                <w:bCs/>
                <w:color w:val="000000"/>
              </w:rPr>
            </w:pPr>
          </w:p>
          <w:p w14:paraId="4F6CB44E" w14:textId="77777777" w:rsidR="00030292" w:rsidRDefault="00030292" w:rsidP="00EA59DA">
            <w:pPr>
              <w:ind w:left="-54"/>
              <w:jc w:val="both"/>
              <w:rPr>
                <w:rFonts w:ascii="Times New Roman" w:eastAsia="Times New Roman" w:hAnsi="Times New Roman" w:cs="Times New Roman"/>
                <w:bCs/>
                <w:color w:val="000000"/>
              </w:rPr>
            </w:pPr>
          </w:p>
          <w:p w14:paraId="3FB64C70" w14:textId="04554C90" w:rsidR="00030292" w:rsidRDefault="00030292" w:rsidP="00EA59DA">
            <w:pPr>
              <w:ind w:left="-54"/>
              <w:jc w:val="both"/>
              <w:rPr>
                <w:rFonts w:ascii="Times New Roman" w:eastAsia="Times New Roman" w:hAnsi="Times New Roman" w:cs="Times New Roman"/>
                <w:bCs/>
                <w:color w:val="000000"/>
              </w:rPr>
            </w:pPr>
          </w:p>
        </w:tc>
        <w:tc>
          <w:tcPr>
            <w:tcW w:w="6776" w:type="dxa"/>
            <w:shd w:val="clear" w:color="auto" w:fill="FFFFFF" w:themeFill="background1"/>
          </w:tcPr>
          <w:p w14:paraId="02736C8B" w14:textId="6C468122" w:rsidR="007845F8" w:rsidRPr="002D32F6" w:rsidRDefault="007845F8" w:rsidP="002D32F6">
            <w:pPr>
              <w:pStyle w:val="FootnoteText"/>
              <w:rPr>
                <w:sz w:val="22"/>
                <w:szCs w:val="22"/>
              </w:rPr>
            </w:pPr>
            <w:r>
              <w:rPr>
                <w:sz w:val="22"/>
                <w:szCs w:val="22"/>
              </w:rPr>
              <w:t xml:space="preserve">Refer to the DINU Scoping Study </w:t>
            </w:r>
            <w:r w:rsidRPr="00CB32F7">
              <w:rPr>
                <w:sz w:val="22"/>
                <w:szCs w:val="22"/>
              </w:rPr>
              <w:t>(2017). The study can be found on this link</w:t>
            </w:r>
            <w:r w:rsidRPr="002D32F6">
              <w:rPr>
                <w:sz w:val="22"/>
                <w:szCs w:val="22"/>
              </w:rPr>
              <w:t>:</w:t>
            </w:r>
            <w:hyperlink r:id="rId13" w:history="1">
              <w:r w:rsidRPr="002D32F6">
                <w:rPr>
                  <w:rStyle w:val="Hyperlink"/>
                  <w:sz w:val="22"/>
                  <w:szCs w:val="22"/>
                </w:rPr>
                <w:t>https://eeas.europa.eu/delegations/uganda/30044/scoping-study-development-initiative-northern-uganda-final-report_en</w:t>
              </w:r>
            </w:hyperlink>
            <w:r w:rsidRPr="002D32F6">
              <w:rPr>
                <w:rStyle w:val="Hyperlink"/>
                <w:sz w:val="22"/>
                <w:szCs w:val="22"/>
              </w:rPr>
              <w:t>.</w:t>
            </w:r>
            <w:r w:rsidRPr="002D32F6">
              <w:rPr>
                <w:sz w:val="22"/>
                <w:szCs w:val="22"/>
              </w:rPr>
              <w:t xml:space="preserve"> </w:t>
            </w:r>
          </w:p>
          <w:p w14:paraId="1F32E8AA" w14:textId="77777777" w:rsidR="007845F8" w:rsidRDefault="007845F8" w:rsidP="00EA59DA">
            <w:pPr>
              <w:pStyle w:val="FootnoteText"/>
              <w:rPr>
                <w:sz w:val="22"/>
                <w:szCs w:val="22"/>
              </w:rPr>
            </w:pPr>
          </w:p>
          <w:p w14:paraId="4F9F3A2E" w14:textId="10645DC5" w:rsidR="007845F8" w:rsidRPr="00CB32F7" w:rsidRDefault="007845F8" w:rsidP="007845F8">
            <w:pPr>
              <w:pStyle w:val="FootnoteText"/>
              <w:rPr>
                <w:sz w:val="22"/>
                <w:szCs w:val="22"/>
              </w:rPr>
            </w:pPr>
            <w:r>
              <w:rPr>
                <w:sz w:val="22"/>
                <w:szCs w:val="22"/>
              </w:rPr>
              <w:t xml:space="preserve">As specified in section 1.2 of the Guidelines for Applicants under the specific considerations for Lot 1, page 8, applicants should refer to the preliminary identification of clusters presented in the Scoping Study but could propose and justify additional clusters. </w:t>
            </w:r>
          </w:p>
        </w:tc>
      </w:tr>
      <w:tr w:rsidR="00DD6B40" w:rsidRPr="00D91415" w14:paraId="664D19DD" w14:textId="77777777" w:rsidTr="00915BC1">
        <w:tc>
          <w:tcPr>
            <w:tcW w:w="851" w:type="dxa"/>
            <w:shd w:val="clear" w:color="auto" w:fill="FFFFFF" w:themeFill="background1"/>
          </w:tcPr>
          <w:p w14:paraId="0B7FE805" w14:textId="77777777" w:rsidR="00DD6B40" w:rsidRPr="00D91415" w:rsidRDefault="00DD6B40" w:rsidP="002D32F6">
            <w:pPr>
              <w:pStyle w:val="ListParagraph"/>
              <w:numPr>
                <w:ilvl w:val="0"/>
                <w:numId w:val="21"/>
              </w:numPr>
              <w:jc w:val="center"/>
              <w:rPr>
                <w:rFonts w:ascii="Times New Roman" w:eastAsia="Times New Roman" w:hAnsi="Times New Roman" w:cs="Times New Roman"/>
                <w:bCs/>
                <w:color w:val="000000"/>
              </w:rPr>
            </w:pPr>
          </w:p>
        </w:tc>
        <w:tc>
          <w:tcPr>
            <w:tcW w:w="6783" w:type="dxa"/>
            <w:shd w:val="clear" w:color="auto" w:fill="FFFFFF" w:themeFill="background1"/>
          </w:tcPr>
          <w:p w14:paraId="62E03E4D" w14:textId="77777777" w:rsidR="007845F8" w:rsidRDefault="00DD6B40" w:rsidP="002D32F6">
            <w:pPr>
              <w:ind w:left="-54"/>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w:t>
            </w:r>
            <w:r w:rsidRPr="00CB32F7">
              <w:rPr>
                <w:rFonts w:ascii="Times New Roman" w:eastAsia="Times New Roman" w:hAnsi="Times New Roman" w:cs="Times New Roman"/>
                <w:bCs/>
                <w:color w:val="000000"/>
              </w:rPr>
              <w:t xml:space="preserve">What are the 16 core districts and what makes them core? </w:t>
            </w:r>
          </w:p>
          <w:p w14:paraId="0845895E" w14:textId="77777777" w:rsidR="00030292" w:rsidRDefault="00030292" w:rsidP="002D32F6">
            <w:pPr>
              <w:ind w:left="-54"/>
              <w:jc w:val="both"/>
              <w:rPr>
                <w:rFonts w:ascii="Times New Roman" w:eastAsia="Times New Roman" w:hAnsi="Times New Roman" w:cs="Times New Roman"/>
                <w:bCs/>
                <w:color w:val="000000"/>
              </w:rPr>
            </w:pPr>
          </w:p>
          <w:p w14:paraId="5616F259" w14:textId="77777777" w:rsidR="007845F8" w:rsidRDefault="00DD6B40" w:rsidP="002D32F6">
            <w:pPr>
              <w:ind w:left="-54"/>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w:t>
            </w:r>
            <w:r w:rsidRPr="00CB32F7">
              <w:rPr>
                <w:rFonts w:ascii="Times New Roman" w:eastAsia="Times New Roman" w:hAnsi="Times New Roman" w:cs="Times New Roman"/>
                <w:bCs/>
                <w:color w:val="000000"/>
              </w:rPr>
              <w:t xml:space="preserve">What is the implication if the 16 core districts are not considered in a Concept Note? </w:t>
            </w:r>
          </w:p>
          <w:p w14:paraId="2AAEF46E" w14:textId="77777777" w:rsidR="007845F8" w:rsidRDefault="007845F8" w:rsidP="002D32F6">
            <w:pPr>
              <w:ind w:left="-54"/>
              <w:jc w:val="both"/>
              <w:rPr>
                <w:rFonts w:ascii="Times New Roman" w:eastAsia="Times New Roman" w:hAnsi="Times New Roman" w:cs="Times New Roman"/>
                <w:bCs/>
                <w:color w:val="000000"/>
              </w:rPr>
            </w:pPr>
          </w:p>
          <w:p w14:paraId="3666958D" w14:textId="77777777" w:rsidR="007845F8" w:rsidRDefault="00DD6B40" w:rsidP="002D32F6">
            <w:pPr>
              <w:ind w:left="-54"/>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w:t>
            </w:r>
            <w:r w:rsidRPr="00CB32F7">
              <w:rPr>
                <w:rFonts w:ascii="Times New Roman" w:eastAsia="Times New Roman" w:hAnsi="Times New Roman" w:cs="Times New Roman"/>
                <w:bCs/>
                <w:color w:val="000000"/>
              </w:rPr>
              <w:t>Is there any obligation that the 16 core districts must be part of choices in the region selected for implementation or applicants can spread the intervention in any of the 33 districts?</w:t>
            </w:r>
          </w:p>
          <w:p w14:paraId="410EE0EB" w14:textId="77777777" w:rsidR="007845F8" w:rsidRDefault="007845F8" w:rsidP="002D32F6">
            <w:pPr>
              <w:ind w:left="-54"/>
              <w:jc w:val="both"/>
              <w:rPr>
                <w:rFonts w:ascii="Times New Roman" w:eastAsia="Times New Roman" w:hAnsi="Times New Roman" w:cs="Times New Roman"/>
                <w:bCs/>
                <w:color w:val="000000"/>
              </w:rPr>
            </w:pPr>
          </w:p>
          <w:p w14:paraId="11F43D8B" w14:textId="77777777" w:rsidR="007845F8" w:rsidRDefault="00DD6B40" w:rsidP="002D32F6">
            <w:pPr>
              <w:ind w:left="-54"/>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w:t>
            </w:r>
            <w:r w:rsidRPr="00CB32F7">
              <w:rPr>
                <w:rFonts w:ascii="Times New Roman" w:eastAsia="Times New Roman" w:hAnsi="Times New Roman" w:cs="Times New Roman"/>
                <w:bCs/>
                <w:color w:val="000000"/>
              </w:rPr>
              <w:t>The call mentions working in the core districts (cluster) and you can select some other ones by also clustering. Does this mean that although adhering to all activities mentioned in the call, we can still differentiate in the emphasis we put on core districts and other districts (that is: cover part of additional districts with all activities or less input /funds to the other districts)?</w:t>
            </w:r>
          </w:p>
          <w:p w14:paraId="3E2F68CC" w14:textId="77777777" w:rsidR="007845F8" w:rsidRDefault="007845F8" w:rsidP="002D32F6">
            <w:pPr>
              <w:ind w:left="-54"/>
              <w:jc w:val="both"/>
              <w:rPr>
                <w:rFonts w:ascii="Times New Roman" w:eastAsia="Times New Roman" w:hAnsi="Times New Roman" w:cs="Times New Roman"/>
                <w:bCs/>
                <w:color w:val="000000"/>
              </w:rPr>
            </w:pPr>
          </w:p>
          <w:p w14:paraId="6E4FBC06" w14:textId="61E9AD60" w:rsidR="00DD6B40" w:rsidRPr="00CB32F7" w:rsidRDefault="00DD6B40" w:rsidP="002D32F6">
            <w:pPr>
              <w:ind w:left="-54"/>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w:t>
            </w:r>
            <w:r w:rsidRPr="00CB32F7">
              <w:rPr>
                <w:rFonts w:ascii="Times New Roman" w:eastAsia="Times New Roman" w:hAnsi="Times New Roman" w:cs="Times New Roman"/>
                <w:bCs/>
                <w:color w:val="000000"/>
              </w:rPr>
              <w:t>Are the 11 districts not indicated in any cluster eligible under this Call?</w:t>
            </w:r>
          </w:p>
        </w:tc>
        <w:tc>
          <w:tcPr>
            <w:tcW w:w="6776" w:type="dxa"/>
            <w:shd w:val="clear" w:color="auto" w:fill="FFFFFF" w:themeFill="background1"/>
          </w:tcPr>
          <w:p w14:paraId="03ED14DD" w14:textId="77777777" w:rsidR="00DD6B40" w:rsidRPr="00CB32F7" w:rsidRDefault="00DD6B40" w:rsidP="00EA59DA">
            <w:pPr>
              <w:pStyle w:val="FootnoteText"/>
              <w:rPr>
                <w:sz w:val="22"/>
                <w:szCs w:val="22"/>
              </w:rPr>
            </w:pPr>
            <w:r w:rsidRPr="00CB32F7">
              <w:rPr>
                <w:sz w:val="22"/>
                <w:szCs w:val="22"/>
              </w:rPr>
              <w:t>The 16 core districts were identified – based on specific selection criteria - in the DINU Scoping Study (2017). The study can be found on this link:</w:t>
            </w:r>
          </w:p>
          <w:p w14:paraId="39461E4E" w14:textId="77777777" w:rsidR="00DD6B40" w:rsidRDefault="004E125D" w:rsidP="00EA59DA">
            <w:pPr>
              <w:jc w:val="both"/>
              <w:rPr>
                <w:rFonts w:ascii="Times New Roman" w:hAnsi="Times New Roman" w:cs="Times New Roman"/>
              </w:rPr>
            </w:pPr>
            <w:hyperlink r:id="rId14" w:history="1">
              <w:r w:rsidR="00DD6B40" w:rsidRPr="00CB32F7">
                <w:rPr>
                  <w:rStyle w:val="Hyperlink"/>
                  <w:rFonts w:ascii="Times New Roman" w:hAnsi="Times New Roman" w:cs="Times New Roman"/>
                </w:rPr>
                <w:t>https://eeas.europa.eu/delegations/uganda/30044/scoping-study-development-initiative-northern-uganda-final-report_en</w:t>
              </w:r>
            </w:hyperlink>
            <w:r w:rsidR="00DD6B40" w:rsidRPr="00CB32F7">
              <w:rPr>
                <w:rStyle w:val="Hyperlink"/>
                <w:rFonts w:ascii="Times New Roman" w:hAnsi="Times New Roman" w:cs="Times New Roman"/>
              </w:rPr>
              <w:t>.</w:t>
            </w:r>
            <w:r w:rsidR="00DD6B40" w:rsidRPr="00D91415">
              <w:rPr>
                <w:rFonts w:ascii="Times New Roman" w:hAnsi="Times New Roman" w:cs="Times New Roman"/>
              </w:rPr>
              <w:t xml:space="preserve"> </w:t>
            </w:r>
          </w:p>
          <w:p w14:paraId="52055CC5" w14:textId="77777777" w:rsidR="00DD6B40" w:rsidRDefault="00DD6B40" w:rsidP="00EA59DA">
            <w:pPr>
              <w:jc w:val="both"/>
              <w:rPr>
                <w:rFonts w:ascii="Times New Roman" w:hAnsi="Times New Roman" w:cs="Times New Roman"/>
              </w:rPr>
            </w:pPr>
          </w:p>
          <w:p w14:paraId="32C4C184" w14:textId="77777777" w:rsidR="00DD6B40" w:rsidRDefault="00DD6B40" w:rsidP="00EA59DA">
            <w:pPr>
              <w:jc w:val="both"/>
              <w:rPr>
                <w:rFonts w:ascii="Times New Roman" w:hAnsi="Times New Roman" w:cs="Times New Roman"/>
              </w:rPr>
            </w:pPr>
            <w:r w:rsidRPr="00CB32F7">
              <w:rPr>
                <w:rFonts w:ascii="Times New Roman" w:hAnsi="Times New Roman" w:cs="Times New Roman"/>
              </w:rPr>
              <w:t>Actions must take place in Northern Uganda in one or more of the following sub region(s): Acholi, Karamoja, Lango, Teso and West Nile, and in the 33 eligible districts plus the newly created and operating districts as specified in section 2.1.4 of the Guidelines for Applicants (page 14). The relevance of covering the 16 core districts is to be determined by the a</w:t>
            </w:r>
            <w:r w:rsidRPr="00CE0ED7">
              <w:rPr>
                <w:rFonts w:ascii="Times New Roman" w:hAnsi="Times New Roman" w:cs="Times New Roman"/>
              </w:rPr>
              <w:t xml:space="preserve">pplicant based on the proposed </w:t>
            </w:r>
            <w:r w:rsidRPr="00CB32F7">
              <w:rPr>
                <w:rFonts w:ascii="Times New Roman" w:hAnsi="Times New Roman" w:cs="Times New Roman"/>
              </w:rPr>
              <w:t>action(s).</w:t>
            </w:r>
          </w:p>
          <w:p w14:paraId="4140B786" w14:textId="77777777" w:rsidR="00DD6B40" w:rsidRDefault="00DD6B40" w:rsidP="00EA59DA">
            <w:pPr>
              <w:jc w:val="both"/>
              <w:rPr>
                <w:rFonts w:ascii="Times New Roman" w:hAnsi="Times New Roman" w:cs="Times New Roman"/>
              </w:rPr>
            </w:pPr>
          </w:p>
          <w:p w14:paraId="6ACD6FF6" w14:textId="77777777" w:rsidR="00DD6B40" w:rsidRPr="00CB32F7" w:rsidRDefault="00DD6B40" w:rsidP="00EA59DA">
            <w:pPr>
              <w:jc w:val="both"/>
              <w:rPr>
                <w:rFonts w:ascii="Times New Roman" w:hAnsi="Times New Roman" w:cs="Times New Roman"/>
              </w:rPr>
            </w:pPr>
            <w:r>
              <w:rPr>
                <w:rFonts w:ascii="Times New Roman" w:hAnsi="Times New Roman" w:cs="Times New Roman"/>
              </w:rPr>
              <w:t>As specified in the specific considerations for Lot 1 page 8, applicants could propose and justify additional clusters than those preliminary identified in the Scoping Study.</w:t>
            </w:r>
          </w:p>
        </w:tc>
      </w:tr>
      <w:tr w:rsidR="00DD6B40" w:rsidRPr="00D91415" w14:paraId="139F3A7C" w14:textId="77777777" w:rsidTr="00915BC1">
        <w:tc>
          <w:tcPr>
            <w:tcW w:w="851" w:type="dxa"/>
            <w:shd w:val="clear" w:color="auto" w:fill="FFFFFF" w:themeFill="background1"/>
          </w:tcPr>
          <w:p w14:paraId="5CD13828" w14:textId="77777777" w:rsidR="00DD6B40" w:rsidRPr="00D91415" w:rsidRDefault="00DD6B40" w:rsidP="002D32F6">
            <w:pPr>
              <w:pStyle w:val="ListParagraph"/>
              <w:numPr>
                <w:ilvl w:val="0"/>
                <w:numId w:val="21"/>
              </w:numPr>
              <w:jc w:val="center"/>
              <w:rPr>
                <w:rFonts w:ascii="Times New Roman" w:eastAsia="Times New Roman" w:hAnsi="Times New Roman" w:cs="Times New Roman"/>
                <w:bCs/>
                <w:color w:val="000000"/>
              </w:rPr>
            </w:pPr>
          </w:p>
        </w:tc>
        <w:tc>
          <w:tcPr>
            <w:tcW w:w="6783" w:type="dxa"/>
            <w:shd w:val="clear" w:color="auto" w:fill="FFFFFF" w:themeFill="background1"/>
          </w:tcPr>
          <w:p w14:paraId="61642C79" w14:textId="77777777" w:rsidR="00DD6B40" w:rsidRPr="00CB32F7" w:rsidRDefault="00DD6B40" w:rsidP="00EA59DA">
            <w:pPr>
              <w:ind w:left="-54"/>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w:t>
            </w:r>
            <w:r w:rsidRPr="00CB32F7">
              <w:rPr>
                <w:rFonts w:ascii="Times New Roman" w:eastAsia="Times New Roman" w:hAnsi="Times New Roman" w:cs="Times New Roman"/>
                <w:bCs/>
                <w:color w:val="000000"/>
              </w:rPr>
              <w:t xml:space="preserve">Since there was no mention of actions implemented in Amuria and Katakwi Districts by implementing partners, can an applicant consider actions in these districts? </w:t>
            </w:r>
          </w:p>
          <w:p w14:paraId="5B0B04E8" w14:textId="77777777" w:rsidR="00DD6B40" w:rsidRDefault="00DD6B40" w:rsidP="00EA59DA">
            <w:pPr>
              <w:jc w:val="both"/>
              <w:rPr>
                <w:rFonts w:ascii="Times New Roman" w:eastAsia="Times New Roman" w:hAnsi="Times New Roman" w:cs="Times New Roman"/>
                <w:bCs/>
                <w:color w:val="000000"/>
              </w:rPr>
            </w:pPr>
          </w:p>
          <w:p w14:paraId="50C82826" w14:textId="77777777" w:rsidR="00DD6B40" w:rsidRDefault="00DD6B40" w:rsidP="00EA59DA">
            <w:pPr>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w:t>
            </w:r>
            <w:r w:rsidRPr="00CB32F7">
              <w:rPr>
                <w:rFonts w:ascii="Times New Roman" w:eastAsia="Times New Roman" w:hAnsi="Times New Roman" w:cs="Times New Roman"/>
                <w:bCs/>
                <w:color w:val="000000"/>
              </w:rPr>
              <w:t xml:space="preserve">Is the new district of Nabilatuk which has been cut out of Nakapiriprit district eligible under this Call? </w:t>
            </w:r>
          </w:p>
          <w:p w14:paraId="29B91AEA" w14:textId="77777777" w:rsidR="00DD6B40" w:rsidRPr="00CB32F7" w:rsidRDefault="00DD6B40" w:rsidP="00EA59DA">
            <w:pPr>
              <w:jc w:val="both"/>
              <w:rPr>
                <w:rFonts w:ascii="Times New Roman" w:eastAsia="Times New Roman" w:hAnsi="Times New Roman" w:cs="Times New Roman"/>
                <w:bCs/>
                <w:color w:val="000000"/>
              </w:rPr>
            </w:pPr>
          </w:p>
          <w:p w14:paraId="3D4A4612" w14:textId="77777777" w:rsidR="00DD6B40" w:rsidRPr="00CB32F7" w:rsidRDefault="00DD6B40" w:rsidP="00EA59DA">
            <w:pPr>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w:t>
            </w:r>
            <w:r w:rsidRPr="00CB32F7">
              <w:rPr>
                <w:rFonts w:ascii="Times New Roman" w:eastAsia="Times New Roman" w:hAnsi="Times New Roman" w:cs="Times New Roman"/>
                <w:bCs/>
                <w:color w:val="000000"/>
              </w:rPr>
              <w:t xml:space="preserve">Are new districts created from eligible mother districts eligible under this grant? </w:t>
            </w:r>
          </w:p>
          <w:p w14:paraId="656EE9D1" w14:textId="77777777" w:rsidR="00DD6B40" w:rsidRDefault="00DD6B40" w:rsidP="00EA59DA">
            <w:pPr>
              <w:pStyle w:val="ListParagraph"/>
              <w:ind w:left="589"/>
              <w:jc w:val="both"/>
              <w:rPr>
                <w:rFonts w:ascii="Times New Roman" w:eastAsia="Times New Roman" w:hAnsi="Times New Roman" w:cs="Times New Roman"/>
                <w:bCs/>
                <w:color w:val="000000"/>
              </w:rPr>
            </w:pPr>
          </w:p>
          <w:p w14:paraId="6B0CE97D" w14:textId="77777777" w:rsidR="00DD6B40" w:rsidRPr="00CB32F7" w:rsidRDefault="00DD6B40" w:rsidP="00EA59DA">
            <w:pPr>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w:t>
            </w:r>
            <w:r w:rsidRPr="00CB32F7">
              <w:rPr>
                <w:rFonts w:ascii="Times New Roman" w:eastAsia="Times New Roman" w:hAnsi="Times New Roman" w:cs="Times New Roman"/>
                <w:bCs/>
                <w:color w:val="000000"/>
              </w:rPr>
              <w:t xml:space="preserve">Nebbi district as of July 2017 was split into two districts-Packwach and Nebbi? Does this cover only Nebbi district or both? </w:t>
            </w:r>
          </w:p>
          <w:p w14:paraId="69665632" w14:textId="77777777" w:rsidR="00DD6B40" w:rsidRDefault="00DD6B40" w:rsidP="00EA59DA">
            <w:pPr>
              <w:pStyle w:val="ListParagraph"/>
              <w:ind w:left="589"/>
              <w:jc w:val="both"/>
              <w:rPr>
                <w:rFonts w:ascii="Times New Roman" w:eastAsia="Times New Roman" w:hAnsi="Times New Roman" w:cs="Times New Roman"/>
                <w:bCs/>
                <w:color w:val="000000"/>
              </w:rPr>
            </w:pPr>
          </w:p>
          <w:p w14:paraId="1605AAB0" w14:textId="77777777" w:rsidR="00DD6B40" w:rsidRPr="00CB32F7" w:rsidRDefault="00DD6B40" w:rsidP="00EA59DA">
            <w:pPr>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w:t>
            </w:r>
            <w:r w:rsidRPr="00CB32F7">
              <w:rPr>
                <w:rFonts w:ascii="Times New Roman" w:eastAsia="Times New Roman" w:hAnsi="Times New Roman" w:cs="Times New Roman"/>
                <w:bCs/>
                <w:color w:val="000000"/>
              </w:rPr>
              <w:t>Should new districts already created be clearly defined and reflected in the Guidelines for Applicants?</w:t>
            </w:r>
          </w:p>
        </w:tc>
        <w:tc>
          <w:tcPr>
            <w:tcW w:w="6776" w:type="dxa"/>
            <w:shd w:val="clear" w:color="auto" w:fill="FFFFFF" w:themeFill="background1"/>
          </w:tcPr>
          <w:p w14:paraId="7271D257" w14:textId="77777777" w:rsidR="00DD6B40" w:rsidRPr="00CB32F7" w:rsidRDefault="00DD6B40" w:rsidP="00EA59DA">
            <w:pPr>
              <w:jc w:val="both"/>
              <w:rPr>
                <w:rFonts w:ascii="Times New Roman" w:hAnsi="Times New Roman" w:cs="Times New Roman"/>
              </w:rPr>
            </w:pPr>
            <w:r w:rsidRPr="00CB32F7">
              <w:rPr>
                <w:rFonts w:ascii="Times New Roman" w:hAnsi="Times New Roman" w:cs="Times New Roman"/>
              </w:rPr>
              <w:t xml:space="preserve">As specified in section 2.1.4 of the Guidelines for Applicants page 14, Amuria and Katakwi are part of the eligible districts in the Teso sub-region and newly created districts are eligible. If new districts are already created and targeted by the applicant, this should be reflected in the Concept Note. </w:t>
            </w:r>
          </w:p>
        </w:tc>
      </w:tr>
      <w:tr w:rsidR="00DD6B40" w:rsidRPr="00D91415" w14:paraId="0CAA2ECE" w14:textId="77777777" w:rsidTr="00915BC1">
        <w:tc>
          <w:tcPr>
            <w:tcW w:w="851" w:type="dxa"/>
            <w:shd w:val="clear" w:color="auto" w:fill="FFFFFF" w:themeFill="background1"/>
          </w:tcPr>
          <w:p w14:paraId="7D5F02D2" w14:textId="77777777" w:rsidR="00DD6B40" w:rsidRPr="00D91415" w:rsidRDefault="00DD6B40" w:rsidP="002D32F6">
            <w:pPr>
              <w:pStyle w:val="ListParagraph"/>
              <w:numPr>
                <w:ilvl w:val="0"/>
                <w:numId w:val="21"/>
              </w:numPr>
              <w:jc w:val="center"/>
              <w:rPr>
                <w:rFonts w:ascii="Times New Roman" w:eastAsia="Times New Roman" w:hAnsi="Times New Roman" w:cs="Times New Roman"/>
                <w:bCs/>
                <w:color w:val="000000"/>
              </w:rPr>
            </w:pPr>
          </w:p>
        </w:tc>
        <w:tc>
          <w:tcPr>
            <w:tcW w:w="6783" w:type="dxa"/>
            <w:shd w:val="clear" w:color="auto" w:fill="FFFFFF" w:themeFill="background1"/>
          </w:tcPr>
          <w:p w14:paraId="40FC3E41" w14:textId="77777777" w:rsidR="00DD6B40" w:rsidRDefault="00DD6B40" w:rsidP="00EA59DA">
            <w:pPr>
              <w:ind w:left="-54"/>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w:t>
            </w:r>
            <w:r w:rsidRPr="00CB32F7">
              <w:rPr>
                <w:rFonts w:ascii="Times New Roman" w:eastAsia="Times New Roman" w:hAnsi="Times New Roman" w:cs="Times New Roman"/>
                <w:bCs/>
                <w:color w:val="000000"/>
              </w:rPr>
              <w:t>Given that</w:t>
            </w:r>
            <w:r>
              <w:rPr>
                <w:rFonts w:ascii="Times New Roman" w:eastAsia="Times New Roman" w:hAnsi="Times New Roman" w:cs="Times New Roman"/>
                <w:bCs/>
                <w:color w:val="000000"/>
              </w:rPr>
              <w:t xml:space="preserve"> </w:t>
            </w:r>
            <w:r w:rsidRPr="00CB32F7">
              <w:rPr>
                <w:rFonts w:ascii="Times New Roman" w:eastAsia="Times New Roman" w:hAnsi="Times New Roman" w:cs="Times New Roman"/>
                <w:bCs/>
                <w:color w:val="000000"/>
              </w:rPr>
              <w:t>cooperatives, associations and Local Governments have specific geographical coverage, can they be allowed to cover other districts and geographical areas beyond their defined boundaries?</w:t>
            </w:r>
          </w:p>
        </w:tc>
        <w:tc>
          <w:tcPr>
            <w:tcW w:w="6776" w:type="dxa"/>
            <w:shd w:val="clear" w:color="auto" w:fill="FFFFFF" w:themeFill="background1"/>
          </w:tcPr>
          <w:p w14:paraId="27ED2925" w14:textId="06BD778E" w:rsidR="00DD6B40" w:rsidRDefault="00DD6B40" w:rsidP="00EA59DA">
            <w:pPr>
              <w:ind w:left="-54"/>
              <w:jc w:val="both"/>
              <w:rPr>
                <w:rFonts w:ascii="Times New Roman" w:eastAsia="Times New Roman" w:hAnsi="Times New Roman" w:cs="Times New Roman"/>
                <w:bCs/>
                <w:color w:val="000000"/>
              </w:rPr>
            </w:pPr>
            <w:r>
              <w:rPr>
                <w:rFonts w:ascii="Times New Roman" w:hAnsi="Times New Roman" w:cs="Times New Roman"/>
              </w:rPr>
              <w:t xml:space="preserve">The Guidelines for Applicants do not provide guidance on this specific question. </w:t>
            </w:r>
            <w:r>
              <w:rPr>
                <w:rFonts w:ascii="Times New Roman" w:eastAsia="Times New Roman" w:hAnsi="Times New Roman" w:cs="Times New Roman"/>
                <w:bCs/>
                <w:color w:val="000000"/>
              </w:rPr>
              <w:t>Proposed actions</w:t>
            </w:r>
            <w:r w:rsidRPr="00CB32F7">
              <w:rPr>
                <w:rFonts w:ascii="Times New Roman" w:eastAsia="Times New Roman" w:hAnsi="Times New Roman" w:cs="Times New Roman"/>
                <w:bCs/>
                <w:color w:val="000000"/>
              </w:rPr>
              <w:t xml:space="preserve"> should be based on an assessment of the situation made by the applicants.  </w:t>
            </w:r>
          </w:p>
          <w:p w14:paraId="2E33D7E6" w14:textId="77777777" w:rsidR="00DD6B40" w:rsidRDefault="00DD6B40" w:rsidP="00EA59DA">
            <w:pPr>
              <w:jc w:val="both"/>
              <w:rPr>
                <w:rFonts w:ascii="Times New Roman" w:hAnsi="Times New Roman" w:cs="Times New Roman"/>
              </w:rPr>
            </w:pPr>
            <w:r w:rsidRPr="00CB32F7">
              <w:rPr>
                <w:rFonts w:ascii="Times New Roman" w:hAnsi="Times New Roman" w:cs="Times New Roman"/>
              </w:rPr>
              <w:t>Actions must take place in Northern Uganda in one or more of the following sub region(s): Acholi, Karamoja, Lango, Teso and West Nile, and in the 33 eligible districts plus the newly created and operating districts as specified in section 2.1.4 of the Guidelines for Applicants (page 14).</w:t>
            </w:r>
          </w:p>
          <w:p w14:paraId="15EE4E80" w14:textId="77777777" w:rsidR="00DD6B40" w:rsidRDefault="00DD6B40" w:rsidP="00EA59DA">
            <w:pPr>
              <w:jc w:val="both"/>
              <w:rPr>
                <w:rFonts w:ascii="Times New Roman" w:hAnsi="Times New Roman" w:cs="Times New Roman"/>
              </w:rPr>
            </w:pPr>
          </w:p>
          <w:p w14:paraId="724643F6" w14:textId="77777777" w:rsidR="00DD6B40" w:rsidRPr="00BF4A25" w:rsidRDefault="00DD6B40" w:rsidP="00EA59DA">
            <w:pPr>
              <w:jc w:val="both"/>
              <w:rPr>
                <w:rFonts w:ascii="Times New Roman" w:hAnsi="Times New Roman" w:cs="Times New Roman"/>
              </w:rPr>
            </w:pPr>
            <w:r>
              <w:rPr>
                <w:rFonts w:ascii="Times New Roman" w:hAnsi="Times New Roman" w:cs="Times New Roman"/>
              </w:rPr>
              <w:t xml:space="preserve">Refer as well to the specific consideration related to Partnerships under section 1.2 of the Guidelines for Applicants, page 7. </w:t>
            </w:r>
          </w:p>
        </w:tc>
      </w:tr>
      <w:tr w:rsidR="00DD6B40" w:rsidRPr="00D91415" w14:paraId="635E1103" w14:textId="77777777" w:rsidTr="00915BC1">
        <w:tc>
          <w:tcPr>
            <w:tcW w:w="851" w:type="dxa"/>
            <w:shd w:val="clear" w:color="auto" w:fill="FFFFFF" w:themeFill="background1"/>
          </w:tcPr>
          <w:p w14:paraId="0DE0E157" w14:textId="77777777" w:rsidR="00DD6B40" w:rsidRPr="00D91415" w:rsidRDefault="00DD6B40" w:rsidP="002D32F6">
            <w:pPr>
              <w:pStyle w:val="ListParagraph"/>
              <w:numPr>
                <w:ilvl w:val="0"/>
                <w:numId w:val="21"/>
              </w:numPr>
              <w:jc w:val="center"/>
              <w:rPr>
                <w:rFonts w:ascii="Times New Roman" w:eastAsia="Times New Roman" w:hAnsi="Times New Roman" w:cs="Times New Roman"/>
                <w:bCs/>
                <w:color w:val="000000"/>
              </w:rPr>
            </w:pPr>
          </w:p>
        </w:tc>
        <w:tc>
          <w:tcPr>
            <w:tcW w:w="6783" w:type="dxa"/>
            <w:shd w:val="clear" w:color="auto" w:fill="FFFFFF" w:themeFill="background1"/>
          </w:tcPr>
          <w:p w14:paraId="073190F0" w14:textId="0610A84D" w:rsidR="00DD6B40" w:rsidRDefault="00DD6B40" w:rsidP="00EA59DA">
            <w:pPr>
              <w:ind w:left="-54"/>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w:t>
            </w:r>
            <w:r w:rsidRPr="00AE7F3C">
              <w:rPr>
                <w:rFonts w:ascii="Times New Roman" w:eastAsia="Times New Roman" w:hAnsi="Times New Roman" w:cs="Times New Roman"/>
                <w:bCs/>
                <w:color w:val="000000"/>
              </w:rPr>
              <w:t>Are costs associated with preparing a proposal eligible in case the applicant is awarded a grant?</w:t>
            </w:r>
          </w:p>
        </w:tc>
        <w:tc>
          <w:tcPr>
            <w:tcW w:w="6776" w:type="dxa"/>
            <w:shd w:val="clear" w:color="auto" w:fill="FFFFFF" w:themeFill="background1"/>
          </w:tcPr>
          <w:p w14:paraId="139201DC" w14:textId="6EE664A4" w:rsidR="00DD6B40" w:rsidRDefault="00DD6B40" w:rsidP="00EA59DA">
            <w:pPr>
              <w:ind w:left="-54"/>
              <w:jc w:val="both"/>
              <w:rPr>
                <w:rFonts w:ascii="Times New Roman" w:hAnsi="Times New Roman" w:cs="Times New Roman"/>
              </w:rPr>
            </w:pPr>
            <w:r w:rsidRPr="00AE7F3C">
              <w:rPr>
                <w:rFonts w:ascii="Times New Roman" w:hAnsi="Times New Roman" w:cs="Times New Roman"/>
              </w:rPr>
              <w:t>Costs incurred prior to signing a grant contract are not eligible costs for grants awarded under this Call</w:t>
            </w:r>
            <w:r>
              <w:rPr>
                <w:rFonts w:ascii="Times New Roman" w:hAnsi="Times New Roman" w:cs="Times New Roman"/>
              </w:rPr>
              <w:t>, as they do not comply with Article 14 of the General Conditions (Annex II of Annex G – Standard Grant Contract)</w:t>
            </w:r>
            <w:r w:rsidRPr="00AE7F3C">
              <w:rPr>
                <w:rFonts w:ascii="Times New Roman" w:hAnsi="Times New Roman" w:cs="Times New Roman"/>
              </w:rPr>
              <w:t>.</w:t>
            </w:r>
          </w:p>
        </w:tc>
      </w:tr>
      <w:tr w:rsidR="00DD6B40" w:rsidRPr="00D91415" w14:paraId="7EC5EF55" w14:textId="77777777" w:rsidTr="00915BC1">
        <w:tc>
          <w:tcPr>
            <w:tcW w:w="851" w:type="dxa"/>
            <w:shd w:val="clear" w:color="auto" w:fill="FFFFFF" w:themeFill="background1"/>
          </w:tcPr>
          <w:p w14:paraId="569C0DC5" w14:textId="77777777" w:rsidR="00DD6B40" w:rsidRPr="00D91415" w:rsidRDefault="00DD6B40" w:rsidP="002D32F6">
            <w:pPr>
              <w:pStyle w:val="ListParagraph"/>
              <w:numPr>
                <w:ilvl w:val="0"/>
                <w:numId w:val="21"/>
              </w:numPr>
              <w:jc w:val="center"/>
              <w:rPr>
                <w:rFonts w:ascii="Times New Roman" w:eastAsia="Times New Roman" w:hAnsi="Times New Roman" w:cs="Times New Roman"/>
                <w:bCs/>
                <w:color w:val="000000"/>
              </w:rPr>
            </w:pPr>
          </w:p>
        </w:tc>
        <w:tc>
          <w:tcPr>
            <w:tcW w:w="6783" w:type="dxa"/>
            <w:shd w:val="clear" w:color="auto" w:fill="FFFFFF" w:themeFill="background1"/>
          </w:tcPr>
          <w:p w14:paraId="6607214F" w14:textId="77777777" w:rsidR="00DD6B40" w:rsidRDefault="00DD6B40" w:rsidP="00EA59DA">
            <w:pPr>
              <w:ind w:left="-54"/>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w:t>
            </w:r>
            <w:r w:rsidRPr="009E6E28">
              <w:rPr>
                <w:rFonts w:ascii="Times New Roman" w:eastAsia="Times New Roman" w:hAnsi="Times New Roman" w:cs="Times New Roman"/>
                <w:bCs/>
                <w:color w:val="000000"/>
              </w:rPr>
              <w:t>Can a grant be used to purchase an equipment or set up a facility that is crucial to enable either the farmers, processing/buying company to achieve the desired quality of the product in question ie one that is demanded by the market?</w:t>
            </w:r>
          </w:p>
          <w:p w14:paraId="47E5CA5E" w14:textId="77777777" w:rsidR="00DD6B40" w:rsidRDefault="00DD6B40" w:rsidP="00EA59DA">
            <w:pPr>
              <w:ind w:left="-54"/>
              <w:jc w:val="both"/>
              <w:rPr>
                <w:rFonts w:ascii="Times New Roman" w:eastAsia="Times New Roman" w:hAnsi="Times New Roman" w:cs="Times New Roman"/>
                <w:bCs/>
                <w:color w:val="000000"/>
              </w:rPr>
            </w:pPr>
          </w:p>
          <w:p w14:paraId="1F66EAF6" w14:textId="77777777" w:rsidR="00DD6B40" w:rsidRDefault="00DD6B40" w:rsidP="00EA59DA">
            <w:pPr>
              <w:ind w:left="-54"/>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w:t>
            </w:r>
            <w:r w:rsidRPr="006E0480">
              <w:rPr>
                <w:rFonts w:ascii="Times New Roman" w:eastAsia="Times New Roman" w:hAnsi="Times New Roman" w:cs="Times New Roman"/>
                <w:bCs/>
                <w:color w:val="000000"/>
              </w:rPr>
              <w:t>Would a cost of an equipment costing Euro 500,000 for drying cassava be acceptable since it creates the market for farmers?</w:t>
            </w:r>
          </w:p>
          <w:p w14:paraId="54882FE2" w14:textId="77777777" w:rsidR="00DD6B40" w:rsidRDefault="00DD6B40" w:rsidP="00EA59DA">
            <w:pPr>
              <w:ind w:left="-54"/>
              <w:jc w:val="both"/>
              <w:rPr>
                <w:rFonts w:ascii="Times New Roman" w:eastAsia="Times New Roman" w:hAnsi="Times New Roman" w:cs="Times New Roman"/>
                <w:bCs/>
                <w:color w:val="000000"/>
              </w:rPr>
            </w:pPr>
          </w:p>
          <w:p w14:paraId="637D5355" w14:textId="77777777" w:rsidR="00DD6B40" w:rsidRDefault="00DD6B40" w:rsidP="00EA59DA">
            <w:pPr>
              <w:ind w:left="-54"/>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w:t>
            </w:r>
            <w:r w:rsidRPr="006E0480">
              <w:rPr>
                <w:rFonts w:ascii="Times New Roman" w:eastAsia="Times New Roman" w:hAnsi="Times New Roman" w:cs="Times New Roman"/>
                <w:bCs/>
                <w:color w:val="000000"/>
              </w:rPr>
              <w:t>Would a vehicle to transport the fresh cassava be acceptable?</w:t>
            </w:r>
          </w:p>
          <w:p w14:paraId="7B861784" w14:textId="77777777" w:rsidR="00D47EB8" w:rsidRDefault="00D47EB8" w:rsidP="00EA59DA">
            <w:pPr>
              <w:ind w:left="-54"/>
              <w:jc w:val="both"/>
              <w:rPr>
                <w:rFonts w:ascii="Times New Roman" w:eastAsia="Times New Roman" w:hAnsi="Times New Roman" w:cs="Times New Roman"/>
                <w:bCs/>
                <w:color w:val="000000"/>
              </w:rPr>
            </w:pPr>
          </w:p>
          <w:p w14:paraId="3BC92C69" w14:textId="65549C64" w:rsidR="00D47EB8" w:rsidRDefault="00D47EB8" w:rsidP="00EA59DA">
            <w:pPr>
              <w:ind w:left="-54"/>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w:t>
            </w:r>
            <w:r w:rsidRPr="00690EBC">
              <w:rPr>
                <w:rFonts w:ascii="Times New Roman" w:eastAsia="Times New Roman" w:hAnsi="Times New Roman" w:cs="Times New Roman"/>
                <w:bCs/>
                <w:color w:val="000000"/>
              </w:rPr>
              <w:t>Is a rotating loan fund to farmers an eligible cost under Lot 1?</w:t>
            </w:r>
          </w:p>
        </w:tc>
        <w:tc>
          <w:tcPr>
            <w:tcW w:w="6776" w:type="dxa"/>
            <w:shd w:val="clear" w:color="auto" w:fill="FFFFFF" w:themeFill="background1"/>
          </w:tcPr>
          <w:p w14:paraId="75F18E6C" w14:textId="77777777" w:rsidR="00D47EB8" w:rsidRDefault="00DD6B40" w:rsidP="00D47EB8">
            <w:pPr>
              <w:ind w:left="-54"/>
              <w:jc w:val="both"/>
              <w:rPr>
                <w:rFonts w:ascii="Times New Roman" w:hAnsi="Times New Roman" w:cs="Times New Roman"/>
              </w:rPr>
            </w:pPr>
            <w:r>
              <w:rPr>
                <w:rFonts w:ascii="Times New Roman" w:hAnsi="Times New Roman" w:cs="Times New Roman"/>
              </w:rPr>
              <w:t xml:space="preserve">To be eligible under this Call for Concept Notes, costs must comply with the provisions of </w:t>
            </w:r>
            <w:r w:rsidRPr="002D32F6">
              <w:rPr>
                <w:rFonts w:ascii="Times New Roman" w:hAnsi="Times New Roman" w:cs="Times New Roman"/>
              </w:rPr>
              <w:t>Article 14</w:t>
            </w:r>
            <w:r>
              <w:rPr>
                <w:rFonts w:ascii="Times New Roman" w:hAnsi="Times New Roman" w:cs="Times New Roman"/>
              </w:rPr>
              <w:t xml:space="preserve"> </w:t>
            </w:r>
            <w:r w:rsidRPr="002D32F6">
              <w:rPr>
                <w:rFonts w:ascii="Times New Roman" w:hAnsi="Times New Roman" w:cs="Times New Roman"/>
              </w:rPr>
              <w:t xml:space="preserve">of the General Conditions </w:t>
            </w:r>
            <w:r>
              <w:rPr>
                <w:rFonts w:ascii="Times New Roman" w:hAnsi="Times New Roman" w:cs="Times New Roman"/>
              </w:rPr>
              <w:t xml:space="preserve">to the Standard Grant Contract (see </w:t>
            </w:r>
            <w:r w:rsidRPr="002D32F6">
              <w:rPr>
                <w:rFonts w:ascii="Times New Roman" w:hAnsi="Times New Roman" w:cs="Times New Roman"/>
              </w:rPr>
              <w:t xml:space="preserve">Annex G </w:t>
            </w:r>
            <w:r>
              <w:rPr>
                <w:rFonts w:ascii="Times New Roman" w:hAnsi="Times New Roman" w:cs="Times New Roman"/>
              </w:rPr>
              <w:t>of the Guidelines for Applicants</w:t>
            </w:r>
            <w:r w:rsidRPr="002D32F6">
              <w:rPr>
                <w:rFonts w:ascii="Times New Roman" w:hAnsi="Times New Roman" w:cs="Times New Roman"/>
              </w:rPr>
              <w:t>).</w:t>
            </w:r>
          </w:p>
          <w:p w14:paraId="7EDC7B96" w14:textId="77777777" w:rsidR="00D47EB8" w:rsidRDefault="00D47EB8" w:rsidP="00D47EB8">
            <w:pPr>
              <w:ind w:left="-54"/>
              <w:jc w:val="both"/>
              <w:rPr>
                <w:rFonts w:ascii="Times New Roman" w:hAnsi="Times New Roman" w:cs="Times New Roman"/>
              </w:rPr>
            </w:pPr>
          </w:p>
          <w:p w14:paraId="2FB99CED" w14:textId="4EF1BC4B" w:rsidR="00D47EB8" w:rsidRPr="00AE7F3C" w:rsidRDefault="00D47EB8" w:rsidP="00D47EB8">
            <w:pPr>
              <w:ind w:left="-54"/>
              <w:jc w:val="both"/>
              <w:rPr>
                <w:rFonts w:ascii="Times New Roman" w:hAnsi="Times New Roman" w:cs="Times New Roman"/>
              </w:rPr>
            </w:pPr>
            <w:r>
              <w:rPr>
                <w:rFonts w:ascii="Times New Roman" w:eastAsia="Times New Roman" w:hAnsi="Times New Roman" w:cs="Times New Roman"/>
                <w:bCs/>
                <w:color w:val="000000"/>
              </w:rPr>
              <w:t>Refer to the Action Document of the DINU programme (link provided under footnote 1 of the Guidelines for Applicants, page 4) for more information on the results and activities of the programme.</w:t>
            </w:r>
          </w:p>
        </w:tc>
      </w:tr>
      <w:tr w:rsidR="00731526" w:rsidRPr="00D91415" w14:paraId="2F1C25E0" w14:textId="77777777" w:rsidTr="00915BC1">
        <w:tc>
          <w:tcPr>
            <w:tcW w:w="851" w:type="dxa"/>
            <w:shd w:val="clear" w:color="auto" w:fill="FFFFFF" w:themeFill="background1"/>
          </w:tcPr>
          <w:p w14:paraId="0B6B0736" w14:textId="77777777" w:rsidR="00731526" w:rsidRPr="00D91415" w:rsidRDefault="00731526" w:rsidP="002D32F6">
            <w:pPr>
              <w:pStyle w:val="ListParagraph"/>
              <w:numPr>
                <w:ilvl w:val="0"/>
                <w:numId w:val="21"/>
              </w:numPr>
              <w:jc w:val="center"/>
              <w:rPr>
                <w:rFonts w:ascii="Times New Roman" w:eastAsia="Times New Roman" w:hAnsi="Times New Roman" w:cs="Times New Roman"/>
                <w:bCs/>
                <w:color w:val="000000"/>
              </w:rPr>
            </w:pPr>
          </w:p>
        </w:tc>
        <w:tc>
          <w:tcPr>
            <w:tcW w:w="6783" w:type="dxa"/>
            <w:shd w:val="clear" w:color="auto" w:fill="FFFFFF" w:themeFill="background1"/>
          </w:tcPr>
          <w:p w14:paraId="2400533F" w14:textId="4F25596C" w:rsidR="00731526" w:rsidRPr="00F47159" w:rsidRDefault="00731526" w:rsidP="00EA59DA">
            <w:pPr>
              <w:ind w:left="-54"/>
              <w:jc w:val="both"/>
              <w:rPr>
                <w:rFonts w:ascii="Times New Roman" w:eastAsia="Times New Roman" w:hAnsi="Times New Roman" w:cs="Times New Roman"/>
                <w:bCs/>
                <w:color w:val="000000"/>
              </w:rPr>
            </w:pPr>
            <w:r w:rsidRPr="002D32F6">
              <w:rPr>
                <w:rFonts w:ascii="Times New Roman" w:eastAsia="Times New Roman" w:hAnsi="Times New Roman" w:cs="Times New Roman"/>
                <w:bCs/>
                <w:color w:val="000000"/>
              </w:rPr>
              <w:t>- Can either a lead applicant and or a co-applicant enter into a contractual arrangement with an individual consultant or a company to provide consultancy services to either the lead applicant and or a co-applicant to realize expected results under this call?</w:t>
            </w:r>
          </w:p>
        </w:tc>
        <w:tc>
          <w:tcPr>
            <w:tcW w:w="6776" w:type="dxa"/>
            <w:shd w:val="clear" w:color="auto" w:fill="FFFFFF" w:themeFill="background1"/>
          </w:tcPr>
          <w:p w14:paraId="1CBD6030" w14:textId="2A310274" w:rsidR="00731526" w:rsidRPr="00F47159" w:rsidRDefault="00731526" w:rsidP="006475E4">
            <w:pPr>
              <w:ind w:left="-54"/>
              <w:jc w:val="both"/>
              <w:rPr>
                <w:rFonts w:ascii="Times New Roman" w:hAnsi="Times New Roman" w:cs="Times New Roman"/>
              </w:rPr>
            </w:pPr>
            <w:r w:rsidRPr="00F47159">
              <w:rPr>
                <w:rFonts w:ascii="Times New Roman" w:hAnsi="Times New Roman" w:cs="Times New Roman"/>
              </w:rPr>
              <w:t>Refer to section 2.1.3 of the Guidelines for Applicants, page 14, for entities which are not applicants nor affiliated entities.</w:t>
            </w:r>
          </w:p>
          <w:p w14:paraId="2F2404D8" w14:textId="77777777" w:rsidR="00731526" w:rsidRPr="00F47159" w:rsidRDefault="00731526" w:rsidP="006475E4">
            <w:pPr>
              <w:ind w:left="-54"/>
              <w:jc w:val="both"/>
              <w:rPr>
                <w:rFonts w:ascii="Times New Roman" w:hAnsi="Times New Roman" w:cs="Times New Roman"/>
              </w:rPr>
            </w:pPr>
          </w:p>
          <w:p w14:paraId="3B866D4E" w14:textId="43BEF4C6" w:rsidR="00731526" w:rsidRDefault="00731526" w:rsidP="006475E4">
            <w:pPr>
              <w:ind w:left="-54"/>
              <w:jc w:val="both"/>
              <w:rPr>
                <w:rFonts w:ascii="Times New Roman" w:hAnsi="Times New Roman" w:cs="Times New Roman"/>
              </w:rPr>
            </w:pPr>
            <w:r w:rsidRPr="00F47159">
              <w:rPr>
                <w:rFonts w:ascii="Times New Roman" w:hAnsi="Times New Roman" w:cs="Times New Roman"/>
              </w:rPr>
              <w:t>To be eligible under this Call for Concept Notes, costs must comply with the provisions of Article 14 of the General Conditions to the Standard Grant Contract (see Annex G of the Guidelines for Applicants).</w:t>
            </w:r>
          </w:p>
        </w:tc>
      </w:tr>
      <w:tr w:rsidR="00DD6B40" w:rsidRPr="00914BD3" w14:paraId="37817D49" w14:textId="77777777" w:rsidTr="00915BC1">
        <w:tc>
          <w:tcPr>
            <w:tcW w:w="851" w:type="dxa"/>
            <w:shd w:val="clear" w:color="auto" w:fill="FFFFFF" w:themeFill="background1"/>
          </w:tcPr>
          <w:p w14:paraId="621787C7" w14:textId="77777777" w:rsidR="00DD6B40" w:rsidRPr="00914BD3" w:rsidRDefault="00DD6B40" w:rsidP="002D32F6">
            <w:pPr>
              <w:pStyle w:val="ListParagraph"/>
              <w:numPr>
                <w:ilvl w:val="0"/>
                <w:numId w:val="21"/>
              </w:numPr>
              <w:jc w:val="center"/>
              <w:rPr>
                <w:rFonts w:ascii="Times New Roman" w:eastAsia="Times New Roman" w:hAnsi="Times New Roman" w:cs="Times New Roman"/>
                <w:bCs/>
                <w:color w:val="000000"/>
              </w:rPr>
            </w:pPr>
          </w:p>
        </w:tc>
        <w:tc>
          <w:tcPr>
            <w:tcW w:w="6783" w:type="dxa"/>
            <w:shd w:val="clear" w:color="auto" w:fill="FFFFFF" w:themeFill="background1"/>
          </w:tcPr>
          <w:p w14:paraId="3BC0D0AF" w14:textId="00AFA27F" w:rsidR="00DD6B40" w:rsidRPr="00331B16" w:rsidRDefault="00DD6B40" w:rsidP="00EA59DA">
            <w:pPr>
              <w:ind w:left="-54"/>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w:t>
            </w:r>
            <w:r w:rsidRPr="00B7448E">
              <w:rPr>
                <w:rFonts w:ascii="Times New Roman" w:eastAsia="Times New Roman" w:hAnsi="Times New Roman" w:cs="Times New Roman"/>
                <w:bCs/>
                <w:color w:val="000000"/>
              </w:rPr>
              <w:t>If an organization has a verified indirect rate that is higher than the 7% indirect rate established by the European Union, can the difference between the organization’s indirect rate and the EU’s indirect rate be categorized as cost share as these are real expenses the organization must pay regardless of the EU’s policy?</w:t>
            </w:r>
          </w:p>
        </w:tc>
        <w:tc>
          <w:tcPr>
            <w:tcW w:w="6776" w:type="dxa"/>
            <w:shd w:val="clear" w:color="auto" w:fill="FFFFFF" w:themeFill="background1"/>
          </w:tcPr>
          <w:p w14:paraId="6F1298EC" w14:textId="77777777" w:rsidR="00DD6B40" w:rsidRDefault="00DD6B40" w:rsidP="00EA59DA">
            <w:pPr>
              <w:jc w:val="both"/>
              <w:rPr>
                <w:rFonts w:ascii="Times New Roman" w:eastAsia="Times New Roman" w:hAnsi="Times New Roman" w:cs="Times New Roman"/>
                <w:bCs/>
                <w:color w:val="000000"/>
              </w:rPr>
            </w:pPr>
            <w:r w:rsidRPr="002858D5">
              <w:rPr>
                <w:rFonts w:ascii="Times New Roman" w:eastAsia="Times New Roman" w:hAnsi="Times New Roman" w:cs="Times New Roman"/>
                <w:bCs/>
                <w:color w:val="000000"/>
              </w:rPr>
              <w:t xml:space="preserve">The maximum eligible indirect rate under this </w:t>
            </w:r>
            <w:r>
              <w:rPr>
                <w:rFonts w:ascii="Times New Roman" w:eastAsia="Times New Roman" w:hAnsi="Times New Roman" w:cs="Times New Roman"/>
                <w:bCs/>
                <w:color w:val="000000"/>
              </w:rPr>
              <w:t>C</w:t>
            </w:r>
            <w:r w:rsidRPr="002858D5">
              <w:rPr>
                <w:rFonts w:ascii="Times New Roman" w:eastAsia="Times New Roman" w:hAnsi="Times New Roman" w:cs="Times New Roman"/>
                <w:bCs/>
                <w:color w:val="000000"/>
              </w:rPr>
              <w:t>all shall not exceed 7%  of the total direct eligible costs of the action</w:t>
            </w:r>
            <w:r>
              <w:rPr>
                <w:rFonts w:ascii="Times New Roman" w:eastAsia="Times New Roman" w:hAnsi="Times New Roman" w:cs="Times New Roman"/>
                <w:bCs/>
                <w:color w:val="000000"/>
              </w:rPr>
              <w:t xml:space="preserve"> as specified in section 2.1.5 of the Guidelines for Applicants, pages 17-18.</w:t>
            </w:r>
          </w:p>
        </w:tc>
      </w:tr>
      <w:tr w:rsidR="00DD6B40" w:rsidRPr="00914BD3" w14:paraId="501A3BD0" w14:textId="77777777" w:rsidTr="00915BC1">
        <w:tc>
          <w:tcPr>
            <w:tcW w:w="851" w:type="dxa"/>
            <w:shd w:val="clear" w:color="auto" w:fill="FFFFFF" w:themeFill="background1"/>
          </w:tcPr>
          <w:p w14:paraId="7D893720" w14:textId="77777777" w:rsidR="00DD6B40" w:rsidRPr="00200756" w:rsidRDefault="00DD6B40" w:rsidP="002D32F6">
            <w:pPr>
              <w:pStyle w:val="ListParagraph"/>
              <w:numPr>
                <w:ilvl w:val="0"/>
                <w:numId w:val="21"/>
              </w:numPr>
              <w:jc w:val="center"/>
              <w:rPr>
                <w:rFonts w:ascii="Times New Roman" w:eastAsia="Times New Roman" w:hAnsi="Times New Roman" w:cs="Times New Roman"/>
                <w:bCs/>
                <w:color w:val="000000"/>
              </w:rPr>
            </w:pPr>
          </w:p>
        </w:tc>
        <w:tc>
          <w:tcPr>
            <w:tcW w:w="6783" w:type="dxa"/>
            <w:shd w:val="clear" w:color="auto" w:fill="FFFFFF" w:themeFill="background1"/>
          </w:tcPr>
          <w:p w14:paraId="1414B1DA" w14:textId="656B4A28" w:rsidR="00DD6B40" w:rsidRPr="00200756" w:rsidRDefault="00DD6B40" w:rsidP="00EA59DA">
            <w:pPr>
              <w:ind w:left="-54"/>
              <w:jc w:val="both"/>
              <w:rPr>
                <w:rFonts w:ascii="Times New Roman" w:eastAsia="Times New Roman" w:hAnsi="Times New Roman" w:cs="Times New Roman"/>
                <w:bCs/>
                <w:color w:val="000000"/>
              </w:rPr>
            </w:pPr>
            <w:r w:rsidRPr="002D32F6">
              <w:rPr>
                <w:rFonts w:ascii="Times New Roman" w:eastAsia="Times New Roman" w:hAnsi="Times New Roman" w:cs="Times New Roman"/>
                <w:bCs/>
                <w:color w:val="000000"/>
              </w:rPr>
              <w:t>- Is the release modality for the grant result based or a pre-determined advance?</w:t>
            </w:r>
          </w:p>
        </w:tc>
        <w:tc>
          <w:tcPr>
            <w:tcW w:w="6776" w:type="dxa"/>
            <w:shd w:val="clear" w:color="auto" w:fill="FFFFFF" w:themeFill="background1"/>
          </w:tcPr>
          <w:p w14:paraId="78F7A8F8" w14:textId="38A01D0E" w:rsidR="00DD6B40" w:rsidRPr="002858D5" w:rsidRDefault="00DD6B40" w:rsidP="00200756">
            <w:pPr>
              <w:jc w:val="both"/>
              <w:rPr>
                <w:rFonts w:ascii="Times New Roman" w:eastAsia="Times New Roman" w:hAnsi="Times New Roman" w:cs="Times New Roman"/>
                <w:bCs/>
                <w:color w:val="000000"/>
              </w:rPr>
            </w:pPr>
            <w:r w:rsidRPr="002D32F6">
              <w:rPr>
                <w:rFonts w:ascii="Times New Roman" w:eastAsia="Times New Roman" w:hAnsi="Times New Roman" w:cs="Times New Roman"/>
                <w:bCs/>
                <w:color w:val="000000"/>
              </w:rPr>
              <w:t>Following an award of a grant, funds for implementing the action shall be released in accordance with Article 4 of the Special Conditions in the Standard Grant Contract as set out in Article 15.1</w:t>
            </w:r>
            <w:r w:rsidRPr="00200756">
              <w:t xml:space="preserve"> </w:t>
            </w:r>
            <w:r w:rsidRPr="00200756">
              <w:rPr>
                <w:rFonts w:ascii="Times New Roman" w:eastAsia="Times New Roman" w:hAnsi="Times New Roman" w:cs="Times New Roman"/>
                <w:bCs/>
                <w:color w:val="000000"/>
              </w:rPr>
              <w:t>of the General Conditions (Annex II of Annex G – Standard Grant Contract).</w:t>
            </w:r>
          </w:p>
        </w:tc>
      </w:tr>
      <w:tr w:rsidR="00030292" w:rsidRPr="00D91415" w14:paraId="07B50ADD" w14:textId="77777777" w:rsidTr="002D32F6">
        <w:tc>
          <w:tcPr>
            <w:tcW w:w="14410" w:type="dxa"/>
            <w:gridSpan w:val="3"/>
            <w:shd w:val="clear" w:color="auto" w:fill="FFF2CC" w:themeFill="accent4" w:themeFillTint="33"/>
          </w:tcPr>
          <w:p w14:paraId="3D588362" w14:textId="201533B6" w:rsidR="00030292" w:rsidRPr="002D32F6" w:rsidRDefault="00030292" w:rsidP="008D7A57">
            <w:pPr>
              <w:jc w:val="center"/>
              <w:rPr>
                <w:rFonts w:ascii="Times New Roman" w:eastAsia="Times New Roman" w:hAnsi="Times New Roman" w:cs="Times New Roman"/>
                <w:b/>
                <w:bCs/>
                <w:color w:val="000000"/>
                <w:sz w:val="28"/>
              </w:rPr>
            </w:pPr>
            <w:r w:rsidRPr="002D32F6">
              <w:rPr>
                <w:rFonts w:ascii="Times New Roman" w:eastAsia="Times New Roman" w:hAnsi="Times New Roman" w:cs="Times New Roman"/>
                <w:b/>
                <w:bCs/>
                <w:color w:val="000000"/>
                <w:sz w:val="28"/>
              </w:rPr>
              <w:t>QUESTIONS AND ANSWERS RELATED TO THE SUBMISSION OF THE CONCEPT NOTE AND THE SUPPORTING DOCUMENTS UNDER SECTIONS 2.2 AND 2.4 OF THE GUIDELINES FOR APPLICANTS</w:t>
            </w:r>
          </w:p>
        </w:tc>
      </w:tr>
      <w:tr w:rsidR="00DD6B40" w:rsidRPr="0072347A" w14:paraId="494F4397" w14:textId="77777777" w:rsidTr="00C32B3F">
        <w:tc>
          <w:tcPr>
            <w:tcW w:w="851" w:type="dxa"/>
            <w:shd w:val="clear" w:color="auto" w:fill="FFFFFF" w:themeFill="background1"/>
          </w:tcPr>
          <w:p w14:paraId="6182C713" w14:textId="77777777" w:rsidR="00DD6B40" w:rsidRPr="006F3819" w:rsidRDefault="00DD6B40" w:rsidP="002D32F6">
            <w:pPr>
              <w:pStyle w:val="ListParagraph"/>
              <w:numPr>
                <w:ilvl w:val="0"/>
                <w:numId w:val="21"/>
              </w:numPr>
              <w:jc w:val="center"/>
              <w:rPr>
                <w:rFonts w:ascii="Times New Roman" w:eastAsia="Times New Roman" w:hAnsi="Times New Roman" w:cs="Times New Roman"/>
                <w:bCs/>
                <w:color w:val="000000"/>
              </w:rPr>
            </w:pPr>
          </w:p>
        </w:tc>
        <w:tc>
          <w:tcPr>
            <w:tcW w:w="6783" w:type="dxa"/>
            <w:shd w:val="clear" w:color="auto" w:fill="FFFFFF" w:themeFill="background1"/>
          </w:tcPr>
          <w:p w14:paraId="711C0B13" w14:textId="77777777" w:rsidR="00DD6B40" w:rsidRDefault="00DD6B40" w:rsidP="00EA59DA">
            <w:pPr>
              <w:ind w:left="-54"/>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w:t>
            </w:r>
            <w:r w:rsidRPr="00CB32F7">
              <w:rPr>
                <w:rFonts w:ascii="Times New Roman" w:eastAsia="Times New Roman" w:hAnsi="Times New Roman" w:cs="Times New Roman"/>
                <w:bCs/>
                <w:color w:val="000000"/>
              </w:rPr>
              <w:t>Section 2.2.2 in the Guidelines for Applicants (where and how to send Concept Notes) indicates that Concept Notes may be submitted between 08:30 to 17:00 hours. However, sections 2.2.3 (Deadline for submission of Concept Notes) and 2.5.2 (Indicative timetable) in the Guidelines for Applicants indicate that the deadline for submission of Concept Notes is 15:00 hours? Could you clarify on the timelines for submission?</w:t>
            </w:r>
          </w:p>
          <w:p w14:paraId="5BE1DCAD" w14:textId="77777777" w:rsidR="00DD6B40" w:rsidRDefault="00DD6B40" w:rsidP="00EA59DA">
            <w:pPr>
              <w:ind w:left="-54"/>
              <w:jc w:val="both"/>
            </w:pPr>
          </w:p>
          <w:p w14:paraId="02DBAD98" w14:textId="77777777" w:rsidR="00DD6B40" w:rsidRPr="006F3819" w:rsidRDefault="00DD6B40" w:rsidP="00EA59DA">
            <w:pPr>
              <w:ind w:left="-54"/>
              <w:jc w:val="both"/>
              <w:rPr>
                <w:rFonts w:ascii="Times New Roman" w:eastAsia="Times New Roman" w:hAnsi="Times New Roman" w:cs="Times New Roman"/>
                <w:bCs/>
                <w:color w:val="000000"/>
              </w:rPr>
            </w:pPr>
            <w:r>
              <w:t xml:space="preserve">- </w:t>
            </w:r>
            <w:r w:rsidRPr="006F3819">
              <w:rPr>
                <w:rFonts w:ascii="Times New Roman" w:eastAsia="Times New Roman" w:hAnsi="Times New Roman" w:cs="Times New Roman"/>
                <w:bCs/>
                <w:color w:val="000000"/>
              </w:rPr>
              <w:t>Is the updated deadline date and time (27 June 2019 at 15:00 hours) reflective of both the hand delivery and electronic submission?</w:t>
            </w:r>
          </w:p>
        </w:tc>
        <w:tc>
          <w:tcPr>
            <w:tcW w:w="6776" w:type="dxa"/>
            <w:shd w:val="clear" w:color="auto" w:fill="FFFFFF" w:themeFill="background1"/>
          </w:tcPr>
          <w:p w14:paraId="409F6467" w14:textId="77777777" w:rsidR="00DD6B40" w:rsidRDefault="00DD6B40" w:rsidP="00EA59DA">
            <w:pPr>
              <w:jc w:val="both"/>
              <w:rPr>
                <w:rFonts w:ascii="Times New Roman" w:eastAsia="Times New Roman" w:hAnsi="Times New Roman" w:cs="Times New Roman"/>
                <w:bCs/>
                <w:color w:val="000000"/>
              </w:rPr>
            </w:pPr>
            <w:r w:rsidRPr="006F3819">
              <w:rPr>
                <w:rFonts w:ascii="Times New Roman" w:eastAsia="Times New Roman" w:hAnsi="Times New Roman" w:cs="Times New Roman"/>
                <w:bCs/>
                <w:color w:val="000000"/>
              </w:rPr>
              <w:t xml:space="preserve">Concept Note and requested supporting documents in sealed </w:t>
            </w:r>
            <w:r>
              <w:rPr>
                <w:rFonts w:ascii="Times New Roman" w:eastAsia="Times New Roman" w:hAnsi="Times New Roman" w:cs="Times New Roman"/>
                <w:bCs/>
                <w:color w:val="000000"/>
              </w:rPr>
              <w:t xml:space="preserve">a </w:t>
            </w:r>
            <w:r w:rsidRPr="006F3819">
              <w:rPr>
                <w:rFonts w:ascii="Times New Roman" w:eastAsia="Times New Roman" w:hAnsi="Times New Roman" w:cs="Times New Roman"/>
                <w:bCs/>
                <w:color w:val="000000"/>
              </w:rPr>
              <w:t>envelope shall be received between Monday to Friday from 08:30 to 17:00 hours prior to the deadline for submission of tenders. However, on the last day of submission, i.e. 27 June 2019, the deadline for receipt is 15:00 hours East African Standard Time.</w:t>
            </w:r>
            <w:r>
              <w:rPr>
                <w:rFonts w:ascii="Times New Roman" w:eastAsia="Times New Roman" w:hAnsi="Times New Roman" w:cs="Times New Roman"/>
                <w:bCs/>
                <w:color w:val="000000"/>
              </w:rPr>
              <w:t xml:space="preserve"> </w:t>
            </w:r>
          </w:p>
          <w:p w14:paraId="3DDBA880" w14:textId="77777777" w:rsidR="00DD6B40" w:rsidRDefault="00DD6B40" w:rsidP="00EA59DA">
            <w:pPr>
              <w:jc w:val="both"/>
              <w:rPr>
                <w:rFonts w:ascii="Times New Roman" w:eastAsia="Times New Roman" w:hAnsi="Times New Roman" w:cs="Times New Roman"/>
                <w:bCs/>
                <w:color w:val="000000"/>
              </w:rPr>
            </w:pPr>
          </w:p>
          <w:p w14:paraId="2EDC0241" w14:textId="213C8CC4" w:rsidR="00AD6E17" w:rsidRPr="006F3819" w:rsidRDefault="00DD6B40" w:rsidP="00AD6E17">
            <w:pPr>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The submission should be done </w:t>
            </w:r>
            <w:r w:rsidRPr="006F3819">
              <w:rPr>
                <w:rFonts w:ascii="Times New Roman" w:eastAsia="Times New Roman" w:hAnsi="Times New Roman" w:cs="Times New Roman"/>
                <w:bCs/>
                <w:color w:val="000000"/>
              </w:rPr>
              <w:t>by registered mail, private courier service or by hand-delivery (a signed and dated certificate of receipt will be given to the deliverer)</w:t>
            </w:r>
            <w:r>
              <w:rPr>
                <w:rFonts w:ascii="Times New Roman" w:eastAsia="Times New Roman" w:hAnsi="Times New Roman" w:cs="Times New Roman"/>
                <w:bCs/>
                <w:color w:val="000000"/>
              </w:rPr>
              <w:t xml:space="preserve"> to the address specified </w:t>
            </w:r>
            <w:r w:rsidRPr="006F3819">
              <w:rPr>
                <w:rFonts w:ascii="Times New Roman" w:eastAsia="Times New Roman" w:hAnsi="Times New Roman" w:cs="Times New Roman"/>
                <w:bCs/>
                <w:color w:val="000000"/>
              </w:rPr>
              <w:t>in section 2.2.2 of the Gui</w:t>
            </w:r>
            <w:r>
              <w:rPr>
                <w:rFonts w:ascii="Times New Roman" w:eastAsia="Times New Roman" w:hAnsi="Times New Roman" w:cs="Times New Roman"/>
                <w:bCs/>
                <w:color w:val="000000"/>
              </w:rPr>
              <w:t xml:space="preserve">delines for Applicants, page 20. </w:t>
            </w:r>
            <w:r w:rsidRPr="006F3819">
              <w:rPr>
                <w:rFonts w:ascii="Times New Roman" w:eastAsia="Times New Roman" w:hAnsi="Times New Roman" w:cs="Times New Roman"/>
                <w:bCs/>
                <w:color w:val="000000"/>
              </w:rPr>
              <w:t>No electronic submission is foreseen under this Call.</w:t>
            </w:r>
          </w:p>
        </w:tc>
      </w:tr>
      <w:tr w:rsidR="00DD6B40" w:rsidRPr="0072347A" w14:paraId="2F94AABA" w14:textId="77777777" w:rsidTr="00C32B3F">
        <w:tc>
          <w:tcPr>
            <w:tcW w:w="851" w:type="dxa"/>
            <w:shd w:val="clear" w:color="auto" w:fill="FFFFFF" w:themeFill="background1"/>
          </w:tcPr>
          <w:p w14:paraId="0B779BD1" w14:textId="77777777" w:rsidR="00DD6B40" w:rsidRPr="006F3819" w:rsidRDefault="00DD6B40" w:rsidP="002D32F6">
            <w:pPr>
              <w:pStyle w:val="ListParagraph"/>
              <w:numPr>
                <w:ilvl w:val="0"/>
                <w:numId w:val="21"/>
              </w:numPr>
              <w:jc w:val="center"/>
              <w:rPr>
                <w:rFonts w:ascii="Times New Roman" w:eastAsia="Times New Roman" w:hAnsi="Times New Roman" w:cs="Times New Roman"/>
                <w:bCs/>
                <w:color w:val="000000"/>
              </w:rPr>
            </w:pPr>
          </w:p>
        </w:tc>
        <w:tc>
          <w:tcPr>
            <w:tcW w:w="6783" w:type="dxa"/>
            <w:shd w:val="clear" w:color="auto" w:fill="FFFFFF" w:themeFill="background1"/>
          </w:tcPr>
          <w:p w14:paraId="06A14EF0" w14:textId="338FA937" w:rsidR="00DD6B40" w:rsidRPr="006E0E7D" w:rsidRDefault="00DD6B40" w:rsidP="00EA59DA">
            <w:pPr>
              <w:ind w:left="-54"/>
              <w:jc w:val="both"/>
              <w:rPr>
                <w:rFonts w:ascii="Times New Roman" w:eastAsia="Times New Roman" w:hAnsi="Times New Roman" w:cs="Times New Roman"/>
                <w:bCs/>
                <w:color w:val="000000"/>
              </w:rPr>
            </w:pPr>
            <w:r w:rsidRPr="002D32F6">
              <w:rPr>
                <w:rFonts w:ascii="Times New Roman" w:eastAsia="Times New Roman" w:hAnsi="Times New Roman" w:cs="Times New Roman"/>
                <w:bCs/>
                <w:color w:val="000000"/>
              </w:rPr>
              <w:t>- Where is the link to the grant application form in the annexes?</w:t>
            </w:r>
          </w:p>
        </w:tc>
        <w:tc>
          <w:tcPr>
            <w:tcW w:w="6776" w:type="dxa"/>
            <w:shd w:val="clear" w:color="auto" w:fill="FFFFFF" w:themeFill="background1"/>
          </w:tcPr>
          <w:p w14:paraId="755DEE87" w14:textId="5778373B" w:rsidR="00AD6E17" w:rsidRPr="006F3819" w:rsidRDefault="00DD6B40" w:rsidP="00AD6E17">
            <w:pPr>
              <w:jc w:val="both"/>
              <w:rPr>
                <w:rFonts w:ascii="Times New Roman" w:eastAsia="Times New Roman" w:hAnsi="Times New Roman" w:cs="Times New Roman"/>
                <w:bCs/>
                <w:color w:val="000000"/>
              </w:rPr>
            </w:pPr>
            <w:r w:rsidRPr="002D32F6">
              <w:rPr>
                <w:rFonts w:ascii="Times New Roman" w:eastAsia="Times New Roman" w:hAnsi="Times New Roman" w:cs="Times New Roman"/>
                <w:bCs/>
                <w:color w:val="000000"/>
              </w:rPr>
              <w:t>The Grant Application form, which is Annex A of the Guidelines for Applicants, can be obtained from the website</w:t>
            </w:r>
            <w:r w:rsidRPr="006E0E7D">
              <w:rPr>
                <w:rFonts w:ascii="Times New Roman" w:eastAsia="Times New Roman" w:hAnsi="Times New Roman" w:cs="Times New Roman"/>
                <w:bCs/>
                <w:color w:val="000000"/>
              </w:rPr>
              <w:t>s</w:t>
            </w:r>
            <w:r w:rsidRPr="002D32F6">
              <w:rPr>
                <w:rFonts w:ascii="Times New Roman" w:eastAsia="Times New Roman" w:hAnsi="Times New Roman" w:cs="Times New Roman"/>
                <w:bCs/>
                <w:color w:val="000000"/>
              </w:rPr>
              <w:t xml:space="preserve"> of the Ministry of Finance, Planning and Economic Development: </w:t>
            </w:r>
            <w:hyperlink r:id="rId15" w:history="1">
              <w:r w:rsidRPr="002D32F6">
                <w:rPr>
                  <w:rFonts w:ascii="Times New Roman" w:eastAsia="Times New Roman" w:hAnsi="Times New Roman" w:cs="Times New Roman"/>
                  <w:bCs/>
                  <w:color w:val="000000"/>
                </w:rPr>
                <w:t>https://www.finance.go.ug/</w:t>
              </w:r>
            </w:hyperlink>
            <w:r w:rsidRPr="002D32F6">
              <w:rPr>
                <w:rFonts w:ascii="Times New Roman" w:eastAsia="Times New Roman" w:hAnsi="Times New Roman" w:cs="Times New Roman"/>
                <w:bCs/>
                <w:color w:val="000000"/>
              </w:rPr>
              <w:t xml:space="preserve"> , </w:t>
            </w:r>
            <w:r w:rsidRPr="006E0E7D">
              <w:rPr>
                <w:rFonts w:ascii="Times New Roman" w:eastAsia="Times New Roman" w:hAnsi="Times New Roman" w:cs="Times New Roman"/>
                <w:bCs/>
                <w:color w:val="000000"/>
              </w:rPr>
              <w:t>of</w:t>
            </w:r>
            <w:r w:rsidRPr="002D32F6">
              <w:rPr>
                <w:rFonts w:ascii="Times New Roman" w:eastAsia="Times New Roman" w:hAnsi="Times New Roman" w:cs="Times New Roman"/>
                <w:bCs/>
                <w:color w:val="000000"/>
              </w:rPr>
              <w:t xml:space="preserve"> the Office of the Prime Minister: </w:t>
            </w:r>
            <w:hyperlink r:id="rId16" w:history="1">
              <w:r w:rsidRPr="002D32F6">
                <w:rPr>
                  <w:rFonts w:ascii="Times New Roman" w:eastAsia="Times New Roman" w:hAnsi="Times New Roman" w:cs="Times New Roman"/>
                  <w:bCs/>
                  <w:color w:val="000000"/>
                </w:rPr>
                <w:t>https://www.opm.go.ug/</w:t>
              </w:r>
            </w:hyperlink>
            <w:r w:rsidRPr="002D32F6">
              <w:rPr>
                <w:rFonts w:ascii="Times New Roman" w:eastAsia="Times New Roman" w:hAnsi="Times New Roman" w:cs="Times New Roman"/>
                <w:bCs/>
                <w:color w:val="000000"/>
              </w:rPr>
              <w:t xml:space="preserve"> a</w:t>
            </w:r>
            <w:r w:rsidRPr="006E0E7D">
              <w:rPr>
                <w:rFonts w:ascii="Times New Roman" w:eastAsia="Times New Roman" w:hAnsi="Times New Roman" w:cs="Times New Roman"/>
                <w:bCs/>
                <w:color w:val="000000"/>
              </w:rPr>
              <w:t>nd of</w:t>
            </w:r>
            <w:r w:rsidRPr="002D32F6">
              <w:rPr>
                <w:rFonts w:ascii="Times New Roman" w:eastAsia="Times New Roman" w:hAnsi="Times New Roman" w:cs="Times New Roman"/>
                <w:bCs/>
                <w:color w:val="000000"/>
              </w:rPr>
              <w:t xml:space="preserve"> DG International Cooperation and Development: </w:t>
            </w:r>
            <w:hyperlink r:id="rId17" w:history="1">
              <w:r w:rsidRPr="002D32F6">
                <w:rPr>
                  <w:rFonts w:ascii="Times New Roman" w:eastAsia="Times New Roman" w:hAnsi="Times New Roman" w:cs="Times New Roman"/>
                  <w:bCs/>
                  <w:color w:val="000000"/>
                </w:rPr>
                <w:t>https://webgate.ec.europa.eu/europeaid/online-services/index.cfm?do=publi.welcome</w:t>
              </w:r>
            </w:hyperlink>
          </w:p>
        </w:tc>
      </w:tr>
      <w:tr w:rsidR="00DD6B40" w:rsidRPr="0072347A" w14:paraId="7204C3E6" w14:textId="77777777" w:rsidTr="00C32B3F">
        <w:tc>
          <w:tcPr>
            <w:tcW w:w="851" w:type="dxa"/>
            <w:shd w:val="clear" w:color="auto" w:fill="FFFFFF" w:themeFill="background1"/>
          </w:tcPr>
          <w:p w14:paraId="0AC0D5CD" w14:textId="77777777" w:rsidR="00DD6B40" w:rsidRPr="00AE7F3C" w:rsidRDefault="00DD6B40" w:rsidP="002D32F6">
            <w:pPr>
              <w:pStyle w:val="ListParagraph"/>
              <w:numPr>
                <w:ilvl w:val="0"/>
                <w:numId w:val="21"/>
              </w:numPr>
              <w:jc w:val="center"/>
              <w:rPr>
                <w:rFonts w:ascii="Times New Roman" w:eastAsia="Times New Roman" w:hAnsi="Times New Roman" w:cs="Times New Roman"/>
                <w:bCs/>
                <w:color w:val="000000"/>
              </w:rPr>
            </w:pPr>
          </w:p>
        </w:tc>
        <w:tc>
          <w:tcPr>
            <w:tcW w:w="6783" w:type="dxa"/>
            <w:shd w:val="clear" w:color="auto" w:fill="FFFFFF" w:themeFill="background1"/>
          </w:tcPr>
          <w:p w14:paraId="0B3D3D4A" w14:textId="2D3EA569" w:rsidR="00DD6B40" w:rsidRPr="00AE7F3C" w:rsidRDefault="00DD6B40" w:rsidP="00EA59DA">
            <w:pPr>
              <w:ind w:left="-54"/>
              <w:jc w:val="both"/>
              <w:rPr>
                <w:rFonts w:ascii="Times New Roman" w:eastAsia="Times New Roman" w:hAnsi="Times New Roman" w:cs="Times New Roman"/>
                <w:bCs/>
                <w:color w:val="000000"/>
              </w:rPr>
            </w:pPr>
            <w:r w:rsidRPr="00AE7F3C">
              <w:rPr>
                <w:rFonts w:ascii="Times New Roman" w:eastAsia="Times New Roman" w:hAnsi="Times New Roman" w:cs="Times New Roman"/>
                <w:bCs/>
                <w:color w:val="000000"/>
              </w:rPr>
              <w:t>- According to page 4: There is no specific template for the Concept Note but the lead applicant must ensure that the text: does not exceed 10 pages (A4 size) of Arial 10 characters with 2 cm margins, single line spacing, excluding summary of the action (1.1.1) and summary budget (1.1.6). Could you please confirm if there is a specific template for the Concept Note and that that the summary budget is under section 1.1.7 and not section 1.1.6?</w:t>
            </w:r>
          </w:p>
          <w:p w14:paraId="37AE4195" w14:textId="77777777" w:rsidR="00DD6B40" w:rsidRDefault="00DD6B40" w:rsidP="00EA59DA">
            <w:pPr>
              <w:ind w:left="-54"/>
              <w:jc w:val="both"/>
              <w:rPr>
                <w:rFonts w:ascii="Times New Roman" w:eastAsia="Times New Roman" w:hAnsi="Times New Roman" w:cs="Times New Roman"/>
                <w:bCs/>
                <w:color w:val="000000"/>
              </w:rPr>
            </w:pPr>
          </w:p>
          <w:p w14:paraId="5DB9A1F8" w14:textId="77777777" w:rsidR="00DD6B40" w:rsidRPr="00AE7F3C" w:rsidRDefault="00DD6B40" w:rsidP="00EA59DA">
            <w:pPr>
              <w:ind w:left="-54"/>
              <w:jc w:val="both"/>
              <w:rPr>
                <w:rFonts w:ascii="Times New Roman" w:eastAsia="Times New Roman" w:hAnsi="Times New Roman" w:cs="Times New Roman"/>
                <w:bCs/>
                <w:color w:val="000000"/>
              </w:rPr>
            </w:pPr>
          </w:p>
          <w:p w14:paraId="22D6CD7A" w14:textId="1B155A41" w:rsidR="00DD6B40" w:rsidRPr="00AE7F3C" w:rsidRDefault="00DD6B40" w:rsidP="00EA59DA">
            <w:pPr>
              <w:ind w:left="-54"/>
              <w:jc w:val="both"/>
              <w:rPr>
                <w:rFonts w:ascii="Times New Roman" w:eastAsia="Times New Roman" w:hAnsi="Times New Roman" w:cs="Times New Roman"/>
                <w:bCs/>
                <w:color w:val="000000"/>
              </w:rPr>
            </w:pPr>
            <w:r w:rsidRPr="002D32F6">
              <w:rPr>
                <w:rFonts w:ascii="Times New Roman" w:eastAsia="Times New Roman" w:hAnsi="Times New Roman" w:cs="Times New Roman"/>
                <w:bCs/>
                <w:color w:val="000000"/>
              </w:rPr>
              <w:t>- Does the rule of Arial 10, 2cm margins, single line spacing apply to the whole document or only to the 10 pages A4 size?</w:t>
            </w:r>
          </w:p>
        </w:tc>
        <w:tc>
          <w:tcPr>
            <w:tcW w:w="6776" w:type="dxa"/>
            <w:shd w:val="clear" w:color="auto" w:fill="FFFFFF" w:themeFill="background1"/>
          </w:tcPr>
          <w:p w14:paraId="3C804ABA" w14:textId="77777777" w:rsidR="00DD6B40" w:rsidRDefault="00DD6B40" w:rsidP="008F7FBF">
            <w:pPr>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As specified under the instruction for drafting the Concept Note in Part A of the Grant Application Form, page 4 of Annex A, there is no specific template for the Concept Note. If using their own template to describe the action applicants must follow the instructions. The maximum number of pages (10) relates to the text of the Concept Note under section 1.1 "Description of Action". It excludes the two tables which are part of this section, 1.1.1 "Summary of the action" and 1.1.7 "Indicative summary budget". </w:t>
            </w:r>
          </w:p>
          <w:p w14:paraId="653D8A79" w14:textId="77777777" w:rsidR="00DD6B40" w:rsidRDefault="00DD6B40" w:rsidP="008F7FBF">
            <w:pPr>
              <w:jc w:val="both"/>
              <w:rPr>
                <w:rFonts w:ascii="Times New Roman" w:eastAsia="Times New Roman" w:hAnsi="Times New Roman" w:cs="Times New Roman"/>
                <w:bCs/>
                <w:color w:val="000000"/>
              </w:rPr>
            </w:pPr>
          </w:p>
          <w:p w14:paraId="2595770C" w14:textId="355C5F14" w:rsidR="00DD6B40" w:rsidRPr="006F3819" w:rsidRDefault="00DD6B40" w:rsidP="006E0E7D">
            <w:pPr>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The rule of using Arial 10 characters with 2 cm margins, single line spacing, applies to the text. A</w:t>
            </w:r>
            <w:r w:rsidRPr="002D32F6">
              <w:rPr>
                <w:rFonts w:ascii="Times New Roman" w:eastAsia="Times New Roman" w:hAnsi="Times New Roman" w:cs="Times New Roman"/>
                <w:bCs/>
                <w:color w:val="000000"/>
              </w:rPr>
              <w:t>pplicants are strongly encouraged to use the existing formatting to the greatest possible extent for the tables under section 1.1 and for the tables and text under sections 1.2, 2-8 of the Grant Application Form, Annex A.</w:t>
            </w:r>
            <w:r>
              <w:rPr>
                <w:rFonts w:ascii="Times New Roman" w:eastAsia="Times New Roman" w:hAnsi="Times New Roman" w:cs="Times New Roman"/>
                <w:bCs/>
                <w:color w:val="000000"/>
              </w:rPr>
              <w:t xml:space="preserve"> </w:t>
            </w:r>
          </w:p>
        </w:tc>
      </w:tr>
      <w:tr w:rsidR="00DD6B40" w:rsidRPr="0072347A" w14:paraId="60E721B7" w14:textId="77777777" w:rsidTr="00C32B3F">
        <w:tc>
          <w:tcPr>
            <w:tcW w:w="851" w:type="dxa"/>
            <w:shd w:val="clear" w:color="auto" w:fill="FFFFFF" w:themeFill="background1"/>
          </w:tcPr>
          <w:p w14:paraId="371ACB20" w14:textId="77777777" w:rsidR="00DD6B40" w:rsidRPr="00AE7F3C" w:rsidRDefault="00DD6B40" w:rsidP="002D32F6">
            <w:pPr>
              <w:pStyle w:val="ListParagraph"/>
              <w:numPr>
                <w:ilvl w:val="0"/>
                <w:numId w:val="21"/>
              </w:numPr>
              <w:jc w:val="center"/>
              <w:rPr>
                <w:rFonts w:ascii="Times New Roman" w:eastAsia="Times New Roman" w:hAnsi="Times New Roman" w:cs="Times New Roman"/>
                <w:bCs/>
                <w:color w:val="000000"/>
              </w:rPr>
            </w:pPr>
          </w:p>
        </w:tc>
        <w:tc>
          <w:tcPr>
            <w:tcW w:w="6783" w:type="dxa"/>
            <w:shd w:val="clear" w:color="auto" w:fill="FFFFFF" w:themeFill="background1"/>
          </w:tcPr>
          <w:p w14:paraId="19EF6C69" w14:textId="0542C5CD" w:rsidR="00DD6B40" w:rsidRPr="00AE7F3C" w:rsidRDefault="00DD6B40" w:rsidP="00EA59DA">
            <w:pPr>
              <w:ind w:left="-54"/>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w:t>
            </w:r>
            <w:r w:rsidRPr="006E0E7D">
              <w:rPr>
                <w:rFonts w:ascii="Times New Roman" w:eastAsia="Times New Roman" w:hAnsi="Times New Roman" w:cs="Times New Roman"/>
                <w:bCs/>
                <w:color w:val="000000"/>
              </w:rPr>
              <w:t>In addition to the budget in the application form should one submit the budget in Annex B?</w:t>
            </w:r>
          </w:p>
        </w:tc>
        <w:tc>
          <w:tcPr>
            <w:tcW w:w="6776" w:type="dxa"/>
            <w:shd w:val="clear" w:color="auto" w:fill="FFFFFF" w:themeFill="background1"/>
          </w:tcPr>
          <w:p w14:paraId="111EAD32" w14:textId="30794791" w:rsidR="00DD6B40" w:rsidRPr="006E0E7D" w:rsidRDefault="00DD6B40" w:rsidP="006E0E7D">
            <w:pPr>
              <w:jc w:val="both"/>
              <w:rPr>
                <w:rFonts w:ascii="Times New Roman" w:eastAsia="Times New Roman" w:hAnsi="Times New Roman" w:cs="Times New Roman"/>
                <w:bCs/>
                <w:color w:val="000000"/>
              </w:rPr>
            </w:pPr>
            <w:r w:rsidRPr="002D32F6">
              <w:rPr>
                <w:rFonts w:ascii="Times New Roman" w:eastAsia="Times New Roman" w:hAnsi="Times New Roman" w:cs="Times New Roman"/>
                <w:bCs/>
                <w:color w:val="000000"/>
              </w:rPr>
              <w:t>Annex B to the Guidelines for Applicants is requested for the Full Application only as specified in Part B of the Grant Application Form, under section 2.1.6, page 26 (Annex A).</w:t>
            </w:r>
          </w:p>
        </w:tc>
      </w:tr>
      <w:tr w:rsidR="00DD6B40" w:rsidRPr="0072347A" w14:paraId="69F000E0" w14:textId="77777777" w:rsidTr="00C32B3F">
        <w:tc>
          <w:tcPr>
            <w:tcW w:w="851" w:type="dxa"/>
            <w:shd w:val="clear" w:color="auto" w:fill="FFFFFF" w:themeFill="background1"/>
          </w:tcPr>
          <w:p w14:paraId="4CAC3A3B" w14:textId="77777777" w:rsidR="00DD6B40" w:rsidRPr="006F3819" w:rsidRDefault="00DD6B40" w:rsidP="002D32F6">
            <w:pPr>
              <w:pStyle w:val="ListParagraph"/>
              <w:numPr>
                <w:ilvl w:val="0"/>
                <w:numId w:val="21"/>
              </w:numPr>
              <w:jc w:val="center"/>
              <w:rPr>
                <w:rFonts w:ascii="Times New Roman" w:eastAsia="Times New Roman" w:hAnsi="Times New Roman" w:cs="Times New Roman"/>
                <w:bCs/>
                <w:color w:val="000000"/>
              </w:rPr>
            </w:pPr>
          </w:p>
        </w:tc>
        <w:tc>
          <w:tcPr>
            <w:tcW w:w="6783" w:type="dxa"/>
            <w:shd w:val="clear" w:color="auto" w:fill="FFFFFF" w:themeFill="background1"/>
          </w:tcPr>
          <w:p w14:paraId="0642C693" w14:textId="77777777" w:rsidR="00DD6B40" w:rsidRDefault="00DD6B40" w:rsidP="00EA59DA">
            <w:pPr>
              <w:ind w:left="-54"/>
              <w:jc w:val="both"/>
            </w:pPr>
            <w:r>
              <w:rPr>
                <w:rFonts w:ascii="Times New Roman" w:eastAsia="Times New Roman" w:hAnsi="Times New Roman" w:cs="Times New Roman"/>
                <w:bCs/>
                <w:color w:val="000000"/>
              </w:rPr>
              <w:t xml:space="preserve">- </w:t>
            </w:r>
            <w:r w:rsidRPr="00526B16">
              <w:rPr>
                <w:rFonts w:ascii="Times New Roman" w:eastAsia="Times New Roman" w:hAnsi="Times New Roman" w:cs="Times New Roman"/>
                <w:bCs/>
                <w:color w:val="000000"/>
              </w:rPr>
              <w:t>For the submission of the hardcopies of the Concept Note to the noted address, in the original copy, is it necessary for co-applicant statement(s) to be provided as originals rather than scans, or would scanned copies suffice, provided the declaration of the applicant is an original signature?</w:t>
            </w:r>
            <w:r>
              <w:t xml:space="preserve"> </w:t>
            </w:r>
          </w:p>
          <w:p w14:paraId="4AC8A069" w14:textId="77777777" w:rsidR="00DD6B40" w:rsidRDefault="00DD6B40" w:rsidP="00EA59DA">
            <w:pPr>
              <w:ind w:left="-54"/>
              <w:jc w:val="both"/>
            </w:pPr>
          </w:p>
          <w:p w14:paraId="2BA8132D" w14:textId="77777777" w:rsidR="00DD6B40" w:rsidRDefault="00DD6B40" w:rsidP="00EA59DA">
            <w:pPr>
              <w:ind w:left="-54"/>
              <w:jc w:val="both"/>
              <w:rPr>
                <w:rFonts w:ascii="Times New Roman" w:eastAsia="Times New Roman" w:hAnsi="Times New Roman" w:cs="Times New Roman"/>
                <w:bCs/>
                <w:color w:val="000000"/>
              </w:rPr>
            </w:pPr>
            <w:r>
              <w:t xml:space="preserve">- </w:t>
            </w:r>
            <w:r w:rsidRPr="00526B16">
              <w:rPr>
                <w:rFonts w:ascii="Times New Roman" w:eastAsia="Times New Roman" w:hAnsi="Times New Roman" w:cs="Times New Roman"/>
                <w:bCs/>
                <w:color w:val="000000"/>
              </w:rPr>
              <w:t>Besides the Concept Note (as per format A) one needs to deliver the documents related to section 2.4 and document related to the presence in Uganda. Should the supporting documents be printed once (and in one envelope with the CN) and delivered on USB?</w:t>
            </w:r>
          </w:p>
          <w:p w14:paraId="66BA43E1" w14:textId="77777777" w:rsidR="00DD6B40" w:rsidRDefault="00DD6B40" w:rsidP="00EA59DA">
            <w:pPr>
              <w:ind w:left="-54"/>
              <w:jc w:val="both"/>
              <w:rPr>
                <w:rFonts w:ascii="Times New Roman" w:eastAsia="Times New Roman" w:hAnsi="Times New Roman" w:cs="Times New Roman"/>
                <w:bCs/>
                <w:color w:val="000000"/>
              </w:rPr>
            </w:pPr>
          </w:p>
          <w:p w14:paraId="7EA33734" w14:textId="7F08AE3A" w:rsidR="00DD6B40" w:rsidRDefault="00DD6B40" w:rsidP="00EA59DA">
            <w:pPr>
              <w:ind w:left="-54"/>
              <w:jc w:val="both"/>
              <w:rPr>
                <w:rFonts w:ascii="Times New Roman" w:eastAsia="Times New Roman" w:hAnsi="Times New Roman" w:cs="Times New Roman"/>
                <w:bCs/>
                <w:color w:val="000000"/>
              </w:rPr>
            </w:pPr>
            <w:r w:rsidRPr="00EA59DA">
              <w:rPr>
                <w:rFonts w:ascii="Times New Roman" w:eastAsia="Times New Roman" w:hAnsi="Times New Roman" w:cs="Times New Roman"/>
                <w:bCs/>
                <w:color w:val="000000"/>
              </w:rPr>
              <w:t xml:space="preserve">- </w:t>
            </w:r>
            <w:r w:rsidRPr="002D32F6">
              <w:rPr>
                <w:rFonts w:ascii="Times New Roman" w:eastAsia="Times New Roman" w:hAnsi="Times New Roman" w:cs="Times New Roman"/>
                <w:bCs/>
                <w:color w:val="000000"/>
              </w:rPr>
              <w:t>The checklist for the CN (page 19 of Part A, Grant application form) mentions under 13 that supporting documents in line with Section 2.4 have been provided. The call Guidelines mention on page 25 under 2.4 that this only applies for provisionally selected applications. Please confirm that the Guidelines are leading?</w:t>
            </w:r>
            <w:r>
              <w:rPr>
                <w:rFonts w:ascii="Times New Roman" w:eastAsia="Times New Roman" w:hAnsi="Times New Roman" w:cs="Times New Roman"/>
                <w:bCs/>
                <w:color w:val="000000"/>
              </w:rPr>
              <w:t xml:space="preserve"> </w:t>
            </w:r>
          </w:p>
          <w:p w14:paraId="2C261A1E" w14:textId="77777777" w:rsidR="00DD6B40" w:rsidRDefault="00DD6B40" w:rsidP="00EA59DA">
            <w:pPr>
              <w:ind w:left="-54"/>
              <w:jc w:val="both"/>
              <w:rPr>
                <w:rFonts w:ascii="Times New Roman" w:eastAsia="Times New Roman" w:hAnsi="Times New Roman" w:cs="Times New Roman"/>
                <w:bCs/>
                <w:color w:val="000000"/>
              </w:rPr>
            </w:pPr>
          </w:p>
          <w:p w14:paraId="6E27395B" w14:textId="77777777" w:rsidR="00DD6B40" w:rsidRDefault="00DD6B40" w:rsidP="00EA59DA">
            <w:pPr>
              <w:ind w:left="-54"/>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w:t>
            </w:r>
            <w:r w:rsidRPr="005357B6">
              <w:rPr>
                <w:rFonts w:ascii="Times New Roman" w:eastAsia="Times New Roman" w:hAnsi="Times New Roman" w:cs="Times New Roman"/>
                <w:bCs/>
                <w:color w:val="000000"/>
              </w:rPr>
              <w:t>Section 2.3 in the Guidelines for Applicants (Evaluation and selection of applicants) indicates that supporting documents must be submitted at the time of submission of Concept Notes. However, section 2.4 (submission of supporting documents for provisionally selected applications) indicates that supporting documents shall be considered at the negotiation stage. Should the supporting documents be submitted at the time of submitting the Concept Notes or during the negotiation stage?</w:t>
            </w:r>
          </w:p>
          <w:p w14:paraId="23E35609" w14:textId="77777777" w:rsidR="00DD6B40" w:rsidRDefault="00DD6B40" w:rsidP="00EA59DA">
            <w:pPr>
              <w:ind w:left="-54"/>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w:t>
            </w:r>
            <w:r w:rsidRPr="00EA59DA">
              <w:rPr>
                <w:rFonts w:ascii="Times New Roman" w:eastAsia="Times New Roman" w:hAnsi="Times New Roman" w:cs="Times New Roman"/>
                <w:bCs/>
                <w:color w:val="000000"/>
              </w:rPr>
              <w:t>The mandates for the co-applicant/associates are part of the CN template, so you would expect that you have to send them at CN stage (per 27 June), but the Guidelines (page 20, under 2.2.2) mention that only the Declaration by the lead applicant is required. This is confusing, please confirm that the Guidelines are leading?</w:t>
            </w:r>
          </w:p>
          <w:p w14:paraId="63B598D2" w14:textId="77777777" w:rsidR="00DD6B40" w:rsidRDefault="00DD6B40" w:rsidP="00EA59DA">
            <w:pPr>
              <w:ind w:left="-54"/>
              <w:jc w:val="both"/>
              <w:rPr>
                <w:rFonts w:ascii="Times New Roman" w:eastAsia="Times New Roman" w:hAnsi="Times New Roman" w:cs="Times New Roman"/>
                <w:bCs/>
                <w:color w:val="000000"/>
              </w:rPr>
            </w:pPr>
          </w:p>
          <w:p w14:paraId="7DEC3CEB" w14:textId="77777777" w:rsidR="00DD6B40" w:rsidRDefault="00DD6B40" w:rsidP="00EA59DA">
            <w:pPr>
              <w:ind w:left="-54"/>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w:t>
            </w:r>
            <w:r w:rsidRPr="00563C73">
              <w:rPr>
                <w:rFonts w:ascii="Times New Roman" w:eastAsia="Times New Roman" w:hAnsi="Times New Roman" w:cs="Times New Roman"/>
                <w:bCs/>
                <w:color w:val="000000"/>
              </w:rPr>
              <w:t>Should all requested supporting documents be submitted and enclosed in one envelope with the Concept Note?</w:t>
            </w:r>
          </w:p>
          <w:p w14:paraId="5FBF45B5" w14:textId="77777777" w:rsidR="00DD6B40" w:rsidRDefault="00DD6B40" w:rsidP="00EA59DA">
            <w:pPr>
              <w:ind w:left="-54"/>
              <w:jc w:val="both"/>
              <w:rPr>
                <w:rFonts w:ascii="Times New Roman" w:eastAsia="Times New Roman" w:hAnsi="Times New Roman" w:cs="Times New Roman"/>
                <w:bCs/>
                <w:color w:val="000000"/>
              </w:rPr>
            </w:pPr>
          </w:p>
          <w:p w14:paraId="0DBEC007" w14:textId="576809B4" w:rsidR="00DD6B40" w:rsidRDefault="00DD6B40" w:rsidP="00EA59DA">
            <w:pPr>
              <w:ind w:left="-54"/>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w:t>
            </w:r>
            <w:r w:rsidRPr="00C37C4A">
              <w:rPr>
                <w:rFonts w:ascii="Times New Roman" w:eastAsia="Times New Roman" w:hAnsi="Times New Roman" w:cs="Times New Roman"/>
                <w:bCs/>
                <w:color w:val="000000"/>
              </w:rPr>
              <w:t>Please can you confirm if supporting documents should be submitted together with the Concept Note or when provisionally selected?</w:t>
            </w:r>
          </w:p>
        </w:tc>
        <w:tc>
          <w:tcPr>
            <w:tcW w:w="6776" w:type="dxa"/>
            <w:shd w:val="clear" w:color="auto" w:fill="FFFFFF" w:themeFill="background1"/>
          </w:tcPr>
          <w:p w14:paraId="69D984E3" w14:textId="77777777" w:rsidR="00DD6B40" w:rsidRDefault="00DD6B40" w:rsidP="00EA59DA">
            <w:pPr>
              <w:jc w:val="both"/>
              <w:rPr>
                <w:rFonts w:ascii="Times New Roman" w:eastAsia="Times New Roman" w:hAnsi="Times New Roman" w:cs="Times New Roman"/>
                <w:bCs/>
                <w:color w:val="000000"/>
              </w:rPr>
            </w:pPr>
            <w:r w:rsidRPr="00526B16">
              <w:rPr>
                <w:rFonts w:ascii="Times New Roman" w:eastAsia="Times New Roman" w:hAnsi="Times New Roman" w:cs="Times New Roman"/>
                <w:bCs/>
                <w:color w:val="000000"/>
              </w:rPr>
              <w:t xml:space="preserve">As specified in section </w:t>
            </w:r>
            <w:r>
              <w:rPr>
                <w:rFonts w:ascii="Times New Roman" w:eastAsia="Times New Roman" w:hAnsi="Times New Roman" w:cs="Times New Roman"/>
                <w:bCs/>
                <w:color w:val="000000"/>
              </w:rPr>
              <w:t>2.2.2 of</w:t>
            </w:r>
            <w:r w:rsidRPr="00526B16">
              <w:rPr>
                <w:rFonts w:ascii="Times New Roman" w:eastAsia="Times New Roman" w:hAnsi="Times New Roman" w:cs="Times New Roman"/>
                <w:bCs/>
                <w:color w:val="000000"/>
              </w:rPr>
              <w:t xml:space="preserve"> the Gu</w:t>
            </w:r>
            <w:r>
              <w:rPr>
                <w:rFonts w:ascii="Times New Roman" w:eastAsia="Times New Roman" w:hAnsi="Times New Roman" w:cs="Times New Roman"/>
                <w:bCs/>
                <w:color w:val="000000"/>
              </w:rPr>
              <w:t>idelines for Applicants, page 20</w:t>
            </w:r>
            <w:r w:rsidRPr="00526B16">
              <w:rPr>
                <w:rFonts w:ascii="Times New Roman" w:eastAsia="Times New Roman" w:hAnsi="Times New Roman" w:cs="Times New Roman"/>
                <w:bCs/>
                <w:color w:val="000000"/>
              </w:rPr>
              <w:t xml:space="preserve">, </w:t>
            </w:r>
            <w:r>
              <w:rPr>
                <w:rFonts w:ascii="Times New Roman" w:eastAsia="Times New Roman" w:hAnsi="Times New Roman" w:cs="Times New Roman"/>
                <w:bCs/>
                <w:color w:val="000000"/>
              </w:rPr>
              <w:t xml:space="preserve">the Concept note together with its relating checklist and declaration by the lead applicant must be submitted in one original and two copies. An electronic version of these documents should also be submitted on a  </w:t>
            </w:r>
            <w:r w:rsidRPr="008D7A57">
              <w:rPr>
                <w:rFonts w:ascii="Times New Roman" w:eastAsia="Times New Roman" w:hAnsi="Times New Roman" w:cs="Times New Roman"/>
                <w:bCs/>
                <w:color w:val="000000"/>
              </w:rPr>
              <w:t>CD-Rom or USB stick</w:t>
            </w:r>
            <w:r>
              <w:rPr>
                <w:rFonts w:ascii="Times New Roman" w:eastAsia="Times New Roman" w:hAnsi="Times New Roman" w:cs="Times New Roman"/>
                <w:bCs/>
                <w:color w:val="000000"/>
              </w:rPr>
              <w:t>.</w:t>
            </w:r>
          </w:p>
          <w:p w14:paraId="58CBE915" w14:textId="77777777" w:rsidR="00DD6B40" w:rsidRDefault="00DD6B40" w:rsidP="00EA59DA">
            <w:pPr>
              <w:jc w:val="both"/>
              <w:rPr>
                <w:rFonts w:ascii="Times New Roman" w:eastAsia="Times New Roman" w:hAnsi="Times New Roman" w:cs="Times New Roman"/>
                <w:bCs/>
                <w:color w:val="000000"/>
              </w:rPr>
            </w:pPr>
          </w:p>
          <w:p w14:paraId="6DF2BAA8" w14:textId="41155159" w:rsidR="00DD6B40" w:rsidRDefault="00DD6B40" w:rsidP="00EA59DA">
            <w:pPr>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S</w:t>
            </w:r>
            <w:r w:rsidRPr="00526B16">
              <w:rPr>
                <w:rFonts w:ascii="Times New Roman" w:eastAsia="Times New Roman" w:hAnsi="Times New Roman" w:cs="Times New Roman"/>
                <w:bCs/>
                <w:color w:val="000000"/>
              </w:rPr>
              <w:t xml:space="preserve">upporting documents must be </w:t>
            </w:r>
            <w:r>
              <w:rPr>
                <w:rFonts w:ascii="Times New Roman" w:eastAsia="Times New Roman" w:hAnsi="Times New Roman" w:cs="Times New Roman"/>
                <w:bCs/>
                <w:color w:val="000000"/>
              </w:rPr>
              <w:t xml:space="preserve">submitted at the time of the Concept Note </w:t>
            </w:r>
            <w:r w:rsidRPr="00526B16">
              <w:rPr>
                <w:rFonts w:ascii="Times New Roman" w:eastAsia="Times New Roman" w:hAnsi="Times New Roman" w:cs="Times New Roman"/>
                <w:bCs/>
                <w:color w:val="000000"/>
              </w:rPr>
              <w:t>supplied in the form of originals, photocopies or scanned versions (i.e. showing legible stamps, signatures and dates) of the said originals.</w:t>
            </w:r>
            <w:r>
              <w:rPr>
                <w:rFonts w:ascii="Times New Roman" w:eastAsia="Times New Roman" w:hAnsi="Times New Roman" w:cs="Times New Roman"/>
                <w:bCs/>
                <w:color w:val="000000"/>
              </w:rPr>
              <w:t xml:space="preserve"> If submitted in scanned version, they should be added on to the CD-Rom or USB stick. If submitted in hard copy, one set of the supporting documents should be enclosed in the same envelope as for the Concept Note with its relating checklist and declaration by the lead applicant.</w:t>
            </w:r>
          </w:p>
          <w:p w14:paraId="05A0DE2B" w14:textId="77777777" w:rsidR="00DD6B40" w:rsidRDefault="00DD6B40" w:rsidP="00EA59DA">
            <w:pPr>
              <w:jc w:val="both"/>
              <w:rPr>
                <w:rFonts w:ascii="Times New Roman" w:eastAsia="Times New Roman" w:hAnsi="Times New Roman" w:cs="Times New Roman"/>
                <w:bCs/>
                <w:color w:val="000000"/>
              </w:rPr>
            </w:pPr>
          </w:p>
          <w:p w14:paraId="1EB9C8CA" w14:textId="77777777" w:rsidR="00DD6B40" w:rsidRDefault="00DD6B40" w:rsidP="00EA59DA">
            <w:pPr>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As specified in section 2.4 of the Guidelines for Applications, page 25, the lead applicant is requested to supply the supporting documents listed together with the Concept Note. </w:t>
            </w:r>
          </w:p>
          <w:p w14:paraId="12962ED9" w14:textId="77777777" w:rsidR="00DD6B40" w:rsidRDefault="00DD6B40" w:rsidP="00EA59DA">
            <w:pPr>
              <w:jc w:val="both"/>
              <w:rPr>
                <w:rFonts w:ascii="Times New Roman" w:eastAsia="Times New Roman" w:hAnsi="Times New Roman" w:cs="Times New Roman"/>
                <w:bCs/>
                <w:color w:val="000000"/>
              </w:rPr>
            </w:pPr>
          </w:p>
          <w:p w14:paraId="21B9A4B2" w14:textId="4F5C9AB0" w:rsidR="00DD6B40" w:rsidRPr="006A27F1" w:rsidRDefault="00DD6B40" w:rsidP="00EA59DA">
            <w:pPr>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The administrative check during Step 1 (see page 23) will ensure the supporting documents requested have been fully provided at the time of submitting the </w:t>
            </w:r>
            <w:r w:rsidRPr="005357B6">
              <w:rPr>
                <w:rFonts w:ascii="Times New Roman" w:eastAsia="Times New Roman" w:hAnsi="Times New Roman" w:cs="Times New Roman"/>
                <w:bCs/>
                <w:color w:val="000000"/>
              </w:rPr>
              <w:t>Concept Note.</w:t>
            </w:r>
            <w:r>
              <w:rPr>
                <w:rFonts w:ascii="Times New Roman" w:eastAsia="Times New Roman" w:hAnsi="Times New Roman" w:cs="Times New Roman"/>
                <w:bCs/>
                <w:color w:val="000000"/>
              </w:rPr>
              <w:t xml:space="preserve"> On page 24, it is stated that the eligibility verification will be performed on the basis of the supporting documents only for concept notes that will be provisionally submitted before informing applicants on the results of the evaluation.</w:t>
            </w:r>
          </w:p>
        </w:tc>
      </w:tr>
      <w:tr w:rsidR="00DD6B40" w:rsidRPr="0072347A" w14:paraId="44AD7A9B" w14:textId="77777777" w:rsidTr="00C32B3F">
        <w:tc>
          <w:tcPr>
            <w:tcW w:w="851" w:type="dxa"/>
            <w:shd w:val="clear" w:color="auto" w:fill="FFFFFF" w:themeFill="background1"/>
          </w:tcPr>
          <w:p w14:paraId="0B1372B3" w14:textId="77777777" w:rsidR="00DD6B40" w:rsidRPr="00CB32F7" w:rsidRDefault="00DD6B40" w:rsidP="002D32F6">
            <w:pPr>
              <w:pStyle w:val="ListParagraph"/>
              <w:numPr>
                <w:ilvl w:val="0"/>
                <w:numId w:val="21"/>
              </w:numPr>
              <w:jc w:val="center"/>
              <w:rPr>
                <w:rFonts w:ascii="Times New Roman" w:eastAsia="Times New Roman" w:hAnsi="Times New Roman" w:cs="Times New Roman"/>
                <w:bCs/>
                <w:color w:val="000000"/>
              </w:rPr>
            </w:pPr>
          </w:p>
        </w:tc>
        <w:tc>
          <w:tcPr>
            <w:tcW w:w="6783" w:type="dxa"/>
            <w:shd w:val="clear" w:color="auto" w:fill="FFFFFF" w:themeFill="background1"/>
          </w:tcPr>
          <w:p w14:paraId="0423E784" w14:textId="77777777" w:rsidR="00DD6B40" w:rsidRDefault="00DD6B40" w:rsidP="00B16C27">
            <w:pPr>
              <w:ind w:left="-54"/>
              <w:jc w:val="both"/>
              <w:rPr>
                <w:rFonts w:ascii="Times New Roman" w:eastAsia="Times New Roman" w:hAnsi="Times New Roman" w:cs="Times New Roman"/>
                <w:bCs/>
                <w:color w:val="000000"/>
              </w:rPr>
            </w:pPr>
            <w:r w:rsidRPr="00CB32F7">
              <w:rPr>
                <w:rFonts w:ascii="Times New Roman" w:eastAsia="Times New Roman" w:hAnsi="Times New Roman" w:cs="Times New Roman"/>
                <w:bCs/>
                <w:color w:val="000000"/>
              </w:rPr>
              <w:t xml:space="preserve">- What do you mean when you refer to current accounts in the Guidelines for Applicants? </w:t>
            </w:r>
          </w:p>
          <w:p w14:paraId="7075660D" w14:textId="77777777" w:rsidR="00DD6B40" w:rsidRDefault="00DD6B40" w:rsidP="00B16C27">
            <w:pPr>
              <w:ind w:left="-54"/>
              <w:jc w:val="both"/>
              <w:rPr>
                <w:rFonts w:ascii="Times New Roman" w:eastAsia="Times New Roman" w:hAnsi="Times New Roman" w:cs="Times New Roman"/>
                <w:bCs/>
                <w:color w:val="000000"/>
              </w:rPr>
            </w:pPr>
          </w:p>
          <w:p w14:paraId="62D8FC47" w14:textId="77777777" w:rsidR="00DD6B40" w:rsidRPr="00CB32F7" w:rsidRDefault="00DD6B40" w:rsidP="00B16C27">
            <w:pPr>
              <w:ind w:left="-54"/>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w:t>
            </w:r>
            <w:r w:rsidRPr="00CB32F7">
              <w:rPr>
                <w:rFonts w:ascii="Times New Roman" w:eastAsia="Times New Roman" w:hAnsi="Times New Roman" w:cs="Times New Roman"/>
                <w:bCs/>
                <w:color w:val="000000"/>
              </w:rPr>
              <w:t>Does the reference to latest accounts required as supporting documents refer to bank accounts?</w:t>
            </w:r>
          </w:p>
        </w:tc>
        <w:tc>
          <w:tcPr>
            <w:tcW w:w="6776" w:type="dxa"/>
            <w:shd w:val="clear" w:color="auto" w:fill="FFFFFF" w:themeFill="background1"/>
          </w:tcPr>
          <w:p w14:paraId="39531DDD" w14:textId="77777777" w:rsidR="00DD6B40" w:rsidRPr="00CB32F7" w:rsidRDefault="00DD6B40" w:rsidP="00B16C27">
            <w:pPr>
              <w:jc w:val="both"/>
              <w:rPr>
                <w:rFonts w:ascii="Times New Roman" w:eastAsia="Times New Roman" w:hAnsi="Times New Roman" w:cs="Times New Roman"/>
                <w:bCs/>
                <w:color w:val="000000"/>
              </w:rPr>
            </w:pPr>
            <w:r w:rsidRPr="00CB32F7">
              <w:rPr>
                <w:rFonts w:ascii="Times New Roman" w:eastAsia="Times New Roman" w:hAnsi="Times New Roman" w:cs="Times New Roman"/>
                <w:bCs/>
                <w:color w:val="000000"/>
              </w:rPr>
              <w:t>Lead applicants latest accounts (profit and loss account and the balance sheet for the last financial year in which the accounts have been closed) are considered as part of the supporting documents as specified in section 2.4 (4)  of the Guidelines for Applicants, page 26.</w:t>
            </w:r>
          </w:p>
        </w:tc>
      </w:tr>
      <w:tr w:rsidR="00DD6B40" w:rsidRPr="0072347A" w14:paraId="41664C3F" w14:textId="77777777" w:rsidTr="00C32B3F">
        <w:tc>
          <w:tcPr>
            <w:tcW w:w="851" w:type="dxa"/>
            <w:shd w:val="clear" w:color="auto" w:fill="FFFFFF" w:themeFill="background1"/>
          </w:tcPr>
          <w:p w14:paraId="450292E7" w14:textId="77777777" w:rsidR="00DD6B40" w:rsidRPr="00CB32F7" w:rsidRDefault="00DD6B40" w:rsidP="002D32F6">
            <w:pPr>
              <w:pStyle w:val="ListParagraph"/>
              <w:numPr>
                <w:ilvl w:val="0"/>
                <w:numId w:val="21"/>
              </w:numPr>
              <w:jc w:val="center"/>
              <w:rPr>
                <w:rFonts w:ascii="Times New Roman" w:eastAsia="Times New Roman" w:hAnsi="Times New Roman" w:cs="Times New Roman"/>
                <w:bCs/>
                <w:color w:val="000000"/>
              </w:rPr>
            </w:pPr>
          </w:p>
        </w:tc>
        <w:tc>
          <w:tcPr>
            <w:tcW w:w="6783" w:type="dxa"/>
            <w:shd w:val="clear" w:color="auto" w:fill="FFFFFF" w:themeFill="background1"/>
          </w:tcPr>
          <w:p w14:paraId="0ECA8894" w14:textId="52187B83" w:rsidR="00DD6B40" w:rsidRPr="00CB32F7" w:rsidRDefault="00DD6B40" w:rsidP="00B16C27">
            <w:pPr>
              <w:ind w:left="-54"/>
              <w:jc w:val="both"/>
              <w:rPr>
                <w:rFonts w:ascii="Times New Roman" w:eastAsia="Times New Roman" w:hAnsi="Times New Roman" w:cs="Times New Roman"/>
                <w:bCs/>
                <w:color w:val="000000"/>
              </w:rPr>
            </w:pPr>
            <w:r w:rsidRPr="006E75D3">
              <w:rPr>
                <w:rFonts w:ascii="Times New Roman" w:eastAsia="Times New Roman" w:hAnsi="Times New Roman" w:cs="Times New Roman"/>
                <w:bCs/>
                <w:color w:val="000000"/>
              </w:rPr>
              <w:t>- Isn’t it too early to ask for a bank account in Step 1 due to the procedures that follow?</w:t>
            </w:r>
          </w:p>
        </w:tc>
        <w:tc>
          <w:tcPr>
            <w:tcW w:w="6776" w:type="dxa"/>
            <w:shd w:val="clear" w:color="auto" w:fill="FFFFFF" w:themeFill="background1"/>
          </w:tcPr>
          <w:p w14:paraId="0AE65562" w14:textId="017ECA3C" w:rsidR="003C13BD" w:rsidRPr="00CB32F7" w:rsidRDefault="00DD6B40" w:rsidP="003C13BD">
            <w:pPr>
              <w:jc w:val="both"/>
              <w:rPr>
                <w:rFonts w:ascii="Times New Roman" w:eastAsia="Times New Roman" w:hAnsi="Times New Roman" w:cs="Times New Roman"/>
                <w:bCs/>
                <w:color w:val="000000"/>
              </w:rPr>
            </w:pPr>
            <w:r w:rsidRPr="00674B8D">
              <w:rPr>
                <w:rFonts w:ascii="Times New Roman" w:eastAsia="Times New Roman" w:hAnsi="Times New Roman" w:cs="Times New Roman"/>
                <w:bCs/>
                <w:color w:val="000000"/>
              </w:rPr>
              <w:t>The financial identification form of the lead applicant, certified by the bank to which the payments will be made is requested with other supporting documents at the time of submitting the Concept Note as specified in section 2.4 of the Guidelines for Applicants, pages 23 and 24. If the lead applicant has already submitted a financial identification form in the past for a contract where the European Union was in charge of the payments and intends to use the same bank account, a copy of the previous financial identification form may be provided instead.</w:t>
            </w:r>
          </w:p>
        </w:tc>
      </w:tr>
      <w:tr w:rsidR="00DD6B40" w:rsidRPr="0072347A" w14:paraId="55D70932" w14:textId="77777777" w:rsidTr="00C32B3F">
        <w:tc>
          <w:tcPr>
            <w:tcW w:w="851" w:type="dxa"/>
            <w:shd w:val="clear" w:color="auto" w:fill="FFFFFF" w:themeFill="background1"/>
          </w:tcPr>
          <w:p w14:paraId="02FEF24A" w14:textId="77777777" w:rsidR="00DD6B40" w:rsidRPr="00CB32F7" w:rsidRDefault="00DD6B40" w:rsidP="002D32F6">
            <w:pPr>
              <w:pStyle w:val="ListParagraph"/>
              <w:numPr>
                <w:ilvl w:val="0"/>
                <w:numId w:val="21"/>
              </w:numPr>
              <w:jc w:val="center"/>
              <w:rPr>
                <w:rFonts w:ascii="Times New Roman" w:eastAsia="Times New Roman" w:hAnsi="Times New Roman" w:cs="Times New Roman"/>
                <w:bCs/>
                <w:color w:val="000000"/>
              </w:rPr>
            </w:pPr>
          </w:p>
        </w:tc>
        <w:tc>
          <w:tcPr>
            <w:tcW w:w="6783" w:type="dxa"/>
            <w:shd w:val="clear" w:color="auto" w:fill="FFFFFF" w:themeFill="background1"/>
          </w:tcPr>
          <w:p w14:paraId="09A1B39D" w14:textId="75F4F206" w:rsidR="00DD6B40" w:rsidRPr="00CB32F7" w:rsidRDefault="00DD6B40" w:rsidP="00B16C27">
            <w:pPr>
              <w:ind w:left="-54"/>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w:t>
            </w:r>
            <w:r w:rsidRPr="00662ACA">
              <w:rPr>
                <w:rFonts w:ascii="Times New Roman" w:eastAsia="Times New Roman" w:hAnsi="Times New Roman" w:cs="Times New Roman"/>
                <w:bCs/>
                <w:color w:val="000000"/>
              </w:rPr>
              <w:t>What documents do you expect to prove: “The lead applicant and co-applicant(s) have an operational presence in the Republic of Uganda and if possible, in the proposed areas of intervention with a permanent office and technical staff”?</w:t>
            </w:r>
          </w:p>
        </w:tc>
        <w:tc>
          <w:tcPr>
            <w:tcW w:w="6776" w:type="dxa"/>
            <w:shd w:val="clear" w:color="auto" w:fill="FFFFFF" w:themeFill="background1"/>
          </w:tcPr>
          <w:p w14:paraId="2495A695" w14:textId="77777777" w:rsidR="00AD6E17" w:rsidRDefault="00DD6B40" w:rsidP="003C13BD">
            <w:pPr>
              <w:jc w:val="both"/>
              <w:rPr>
                <w:rFonts w:ascii="Times New Roman" w:hAnsi="Times New Roman" w:cs="Times New Roman"/>
              </w:rPr>
            </w:pPr>
            <w:r w:rsidRPr="00C207DD">
              <w:rPr>
                <w:rFonts w:ascii="Times New Roman" w:hAnsi="Times New Roman" w:cs="Times New Roman"/>
              </w:rPr>
              <w:t>By completing the required supporting documents specified in Section 2.4 o</w:t>
            </w:r>
            <w:r>
              <w:rPr>
                <w:rFonts w:ascii="Times New Roman" w:hAnsi="Times New Roman" w:cs="Times New Roman"/>
              </w:rPr>
              <w:t>f</w:t>
            </w:r>
            <w:r w:rsidRPr="00C207DD">
              <w:rPr>
                <w:rFonts w:ascii="Times New Roman" w:hAnsi="Times New Roman" w:cs="Times New Roman"/>
              </w:rPr>
              <w:t xml:space="preserve"> the Guidelines for Applicants</w:t>
            </w:r>
            <w:r>
              <w:rPr>
                <w:rFonts w:ascii="Times New Roman" w:hAnsi="Times New Roman" w:cs="Times New Roman"/>
              </w:rPr>
              <w:t xml:space="preserve"> as well as </w:t>
            </w:r>
            <w:r w:rsidRPr="00C207DD">
              <w:rPr>
                <w:rFonts w:ascii="Times New Roman" w:hAnsi="Times New Roman" w:cs="Times New Roman"/>
              </w:rPr>
              <w:t>pages</w:t>
            </w:r>
            <w:r>
              <w:rPr>
                <w:rFonts w:ascii="Times New Roman" w:hAnsi="Times New Roman" w:cs="Times New Roman"/>
              </w:rPr>
              <w:t xml:space="preserve"> 8-11 and</w:t>
            </w:r>
            <w:r w:rsidRPr="00C207DD">
              <w:rPr>
                <w:rFonts w:ascii="Times New Roman" w:hAnsi="Times New Roman" w:cs="Times New Roman"/>
              </w:rPr>
              <w:t xml:space="preserve"> 11</w:t>
            </w:r>
            <w:r>
              <w:rPr>
                <w:rFonts w:ascii="Times New Roman" w:hAnsi="Times New Roman" w:cs="Times New Roman"/>
              </w:rPr>
              <w:t xml:space="preserve">-16 </w:t>
            </w:r>
            <w:r w:rsidRPr="00C207DD">
              <w:rPr>
                <w:rFonts w:ascii="Times New Roman" w:hAnsi="Times New Roman" w:cs="Times New Roman"/>
              </w:rPr>
              <w:t xml:space="preserve">of Annex A, the </w:t>
            </w:r>
            <w:r>
              <w:rPr>
                <w:rFonts w:ascii="Times New Roman" w:hAnsi="Times New Roman" w:cs="Times New Roman"/>
              </w:rPr>
              <w:t xml:space="preserve">experience, the </w:t>
            </w:r>
            <w:r w:rsidRPr="00C207DD">
              <w:rPr>
                <w:rFonts w:ascii="Times New Roman" w:hAnsi="Times New Roman" w:cs="Times New Roman"/>
              </w:rPr>
              <w:t>identity and registration of the lead applicant, co-applicant(s) and affiliate</w:t>
            </w:r>
            <w:r w:rsidR="003C13BD">
              <w:rPr>
                <w:rFonts w:ascii="Times New Roman" w:hAnsi="Times New Roman" w:cs="Times New Roman"/>
              </w:rPr>
              <w:t>d entity(ies) shall be verified.</w:t>
            </w:r>
          </w:p>
          <w:p w14:paraId="1B744064" w14:textId="4DDF4901" w:rsidR="003C13BD" w:rsidRPr="00CB32F7" w:rsidRDefault="003C13BD" w:rsidP="003C13BD">
            <w:pPr>
              <w:jc w:val="both"/>
              <w:rPr>
                <w:rFonts w:ascii="Times New Roman" w:eastAsia="Times New Roman" w:hAnsi="Times New Roman" w:cs="Times New Roman"/>
                <w:bCs/>
                <w:color w:val="000000"/>
              </w:rPr>
            </w:pPr>
          </w:p>
        </w:tc>
      </w:tr>
      <w:tr w:rsidR="00DD6B40" w:rsidRPr="0072347A" w14:paraId="144DD1AF" w14:textId="77777777" w:rsidTr="00C32B3F">
        <w:tc>
          <w:tcPr>
            <w:tcW w:w="851" w:type="dxa"/>
            <w:shd w:val="clear" w:color="auto" w:fill="FFFFFF" w:themeFill="background1"/>
          </w:tcPr>
          <w:p w14:paraId="16AF9257" w14:textId="77777777" w:rsidR="00DD6B40" w:rsidRPr="006F3819" w:rsidRDefault="00DD6B40" w:rsidP="002D32F6">
            <w:pPr>
              <w:pStyle w:val="ListParagraph"/>
              <w:numPr>
                <w:ilvl w:val="0"/>
                <w:numId w:val="21"/>
              </w:numPr>
              <w:jc w:val="center"/>
              <w:rPr>
                <w:rFonts w:ascii="Times New Roman" w:eastAsia="Times New Roman" w:hAnsi="Times New Roman" w:cs="Times New Roman"/>
                <w:bCs/>
                <w:color w:val="000000"/>
              </w:rPr>
            </w:pPr>
          </w:p>
        </w:tc>
        <w:tc>
          <w:tcPr>
            <w:tcW w:w="6783" w:type="dxa"/>
            <w:shd w:val="clear" w:color="auto" w:fill="FFFFFF" w:themeFill="background1"/>
          </w:tcPr>
          <w:p w14:paraId="688DD491" w14:textId="05B90EA6" w:rsidR="00DD6B40" w:rsidRDefault="00DD6B40" w:rsidP="00EA59DA">
            <w:pPr>
              <w:ind w:left="-54"/>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w:t>
            </w:r>
            <w:r w:rsidRPr="00EA59DA">
              <w:rPr>
                <w:rFonts w:ascii="Times New Roman" w:eastAsia="Times New Roman" w:hAnsi="Times New Roman" w:cs="Times New Roman"/>
                <w:bCs/>
                <w:color w:val="000000"/>
              </w:rPr>
              <w:t>Could you please confirm that, as stated in 2.2 of the Call Guidelines (page 19), registration in the PADOR system is not required in CN and FP stage?</w:t>
            </w:r>
          </w:p>
        </w:tc>
        <w:tc>
          <w:tcPr>
            <w:tcW w:w="6776" w:type="dxa"/>
            <w:shd w:val="clear" w:color="auto" w:fill="FFFFFF" w:themeFill="background1"/>
          </w:tcPr>
          <w:p w14:paraId="2420AB06" w14:textId="2605A37D" w:rsidR="003C13BD" w:rsidRPr="00526B16" w:rsidRDefault="00DD6B40" w:rsidP="00EA59DA">
            <w:pPr>
              <w:jc w:val="both"/>
              <w:rPr>
                <w:rFonts w:ascii="Times New Roman" w:eastAsia="Times New Roman" w:hAnsi="Times New Roman" w:cs="Times New Roman"/>
                <w:bCs/>
                <w:color w:val="000000"/>
              </w:rPr>
            </w:pPr>
            <w:r w:rsidRPr="00EA59DA">
              <w:rPr>
                <w:rFonts w:ascii="Times New Roman" w:eastAsia="Times New Roman" w:hAnsi="Times New Roman" w:cs="Times New Roman"/>
                <w:bCs/>
                <w:color w:val="000000"/>
              </w:rPr>
              <w:t>Information in PADOR will not be drawn upon in this Call. However, if lead applicants, co-applicant(s) and affiliated entity(ies) are registered in PADOR, this will ease the eligibility verification.</w:t>
            </w:r>
          </w:p>
        </w:tc>
      </w:tr>
      <w:tr w:rsidR="00AD6E17" w:rsidRPr="00D91415" w14:paraId="2D94EAD5" w14:textId="77777777" w:rsidTr="002D32F6">
        <w:tc>
          <w:tcPr>
            <w:tcW w:w="14410" w:type="dxa"/>
            <w:gridSpan w:val="3"/>
            <w:shd w:val="clear" w:color="auto" w:fill="F8E2F5"/>
          </w:tcPr>
          <w:p w14:paraId="604AB880" w14:textId="62B3878E" w:rsidR="00AD6E17" w:rsidRPr="002D32F6" w:rsidRDefault="00AD6E17" w:rsidP="008D7A57">
            <w:pPr>
              <w:jc w:val="center"/>
              <w:rPr>
                <w:rFonts w:ascii="Times New Roman" w:eastAsia="Times New Roman" w:hAnsi="Times New Roman" w:cs="Times New Roman"/>
                <w:b/>
                <w:bCs/>
                <w:color w:val="000000"/>
                <w:sz w:val="28"/>
              </w:rPr>
            </w:pPr>
            <w:r w:rsidRPr="002D32F6">
              <w:rPr>
                <w:rFonts w:ascii="Times New Roman" w:eastAsia="Times New Roman" w:hAnsi="Times New Roman" w:cs="Times New Roman"/>
                <w:b/>
                <w:bCs/>
                <w:color w:val="000000"/>
                <w:sz w:val="28"/>
              </w:rPr>
              <w:t>QUESTIONS AND ANSWERS RELATED TO THE EVALUATION AND THE DECISION UNDER SECTIONS 2.3 AND 2.5 OF THE GUIDELINES FOR APPLICANTS</w:t>
            </w:r>
          </w:p>
        </w:tc>
      </w:tr>
      <w:tr w:rsidR="00DD6B40" w:rsidRPr="0072347A" w14:paraId="13F3FF2E" w14:textId="77777777" w:rsidTr="00C32B3F">
        <w:tc>
          <w:tcPr>
            <w:tcW w:w="851" w:type="dxa"/>
            <w:shd w:val="clear" w:color="auto" w:fill="FFFFFF" w:themeFill="background1"/>
          </w:tcPr>
          <w:p w14:paraId="73D99F73" w14:textId="77777777" w:rsidR="00DD6B40" w:rsidRPr="006F3819" w:rsidRDefault="00DD6B40" w:rsidP="002D32F6">
            <w:pPr>
              <w:pStyle w:val="ListParagraph"/>
              <w:numPr>
                <w:ilvl w:val="0"/>
                <w:numId w:val="21"/>
              </w:numPr>
              <w:jc w:val="center"/>
              <w:rPr>
                <w:rFonts w:ascii="Times New Roman" w:eastAsia="Times New Roman" w:hAnsi="Times New Roman" w:cs="Times New Roman"/>
                <w:bCs/>
                <w:color w:val="000000"/>
              </w:rPr>
            </w:pPr>
          </w:p>
        </w:tc>
        <w:tc>
          <w:tcPr>
            <w:tcW w:w="6783" w:type="dxa"/>
            <w:shd w:val="clear" w:color="auto" w:fill="FFFFFF" w:themeFill="background1"/>
          </w:tcPr>
          <w:p w14:paraId="7EC70186" w14:textId="77777777" w:rsidR="00DD6B40" w:rsidRPr="00CB32F7" w:rsidRDefault="00DD6B40" w:rsidP="00EA59DA">
            <w:pPr>
              <w:ind w:left="-54"/>
              <w:jc w:val="both"/>
              <w:rPr>
                <w:rFonts w:ascii="Times New Roman" w:eastAsia="Times New Roman" w:hAnsi="Times New Roman" w:cs="Times New Roman"/>
                <w:bCs/>
                <w:color w:val="000000"/>
              </w:rPr>
            </w:pPr>
            <w:r w:rsidRPr="00CB32F7">
              <w:rPr>
                <w:rFonts w:ascii="Times New Roman" w:eastAsia="Times New Roman" w:hAnsi="Times New Roman" w:cs="Times New Roman"/>
                <w:bCs/>
                <w:color w:val="000000"/>
              </w:rPr>
              <w:t>- Who are the stakeholders in the evaluation of the Concept Notes?</w:t>
            </w:r>
          </w:p>
        </w:tc>
        <w:tc>
          <w:tcPr>
            <w:tcW w:w="6776" w:type="dxa"/>
            <w:shd w:val="clear" w:color="auto" w:fill="FFFFFF" w:themeFill="background1"/>
          </w:tcPr>
          <w:p w14:paraId="33927089" w14:textId="62677A0A" w:rsidR="003C13BD" w:rsidRPr="00526B16" w:rsidRDefault="00DD6B40" w:rsidP="00EA59DA">
            <w:pPr>
              <w:jc w:val="both"/>
              <w:rPr>
                <w:rFonts w:ascii="Times New Roman" w:eastAsia="Times New Roman" w:hAnsi="Times New Roman" w:cs="Times New Roman"/>
                <w:bCs/>
                <w:color w:val="000000"/>
              </w:rPr>
            </w:pPr>
            <w:r w:rsidRPr="00CB32F7">
              <w:rPr>
                <w:rFonts w:ascii="Times New Roman" w:eastAsia="Times New Roman" w:hAnsi="Times New Roman" w:cs="Times New Roman"/>
                <w:bCs/>
                <w:color w:val="000000"/>
              </w:rPr>
              <w:t>An Evaluation Committee appointed by the Contracting Authority will be established to carry out the evaluation and selection of applicants as specified in section 2.3 of the Guidelines for Applicants, page 22.</w:t>
            </w:r>
          </w:p>
        </w:tc>
      </w:tr>
      <w:tr w:rsidR="00822D36" w:rsidRPr="0072347A" w14:paraId="6ABDE5EF" w14:textId="77777777" w:rsidTr="00C32B3F">
        <w:tc>
          <w:tcPr>
            <w:tcW w:w="851" w:type="dxa"/>
            <w:shd w:val="clear" w:color="auto" w:fill="FFFFFF" w:themeFill="background1"/>
          </w:tcPr>
          <w:p w14:paraId="2F018750" w14:textId="77777777" w:rsidR="00822D36" w:rsidRPr="006F3819" w:rsidRDefault="00822D36" w:rsidP="002D32F6">
            <w:pPr>
              <w:pStyle w:val="ListParagraph"/>
              <w:numPr>
                <w:ilvl w:val="0"/>
                <w:numId w:val="21"/>
              </w:numPr>
              <w:jc w:val="center"/>
              <w:rPr>
                <w:rFonts w:ascii="Times New Roman" w:eastAsia="Times New Roman" w:hAnsi="Times New Roman" w:cs="Times New Roman"/>
                <w:bCs/>
                <w:color w:val="000000"/>
              </w:rPr>
            </w:pPr>
          </w:p>
        </w:tc>
        <w:tc>
          <w:tcPr>
            <w:tcW w:w="6783" w:type="dxa"/>
            <w:shd w:val="clear" w:color="auto" w:fill="FFFFFF" w:themeFill="background1"/>
          </w:tcPr>
          <w:p w14:paraId="68B0E798" w14:textId="71347382" w:rsidR="00822D36" w:rsidRPr="00CB32F7" w:rsidRDefault="00822D36" w:rsidP="00EA59DA">
            <w:pPr>
              <w:ind w:left="-54"/>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w:t>
            </w:r>
            <w:r w:rsidRPr="00822D36">
              <w:rPr>
                <w:rFonts w:ascii="Times New Roman" w:eastAsia="Times New Roman" w:hAnsi="Times New Roman" w:cs="Times New Roman"/>
                <w:bCs/>
                <w:color w:val="000000"/>
              </w:rPr>
              <w:t>What is the level of involvement of the European Union in the selection process of successful applicants?</w:t>
            </w:r>
          </w:p>
        </w:tc>
        <w:tc>
          <w:tcPr>
            <w:tcW w:w="6776" w:type="dxa"/>
            <w:shd w:val="clear" w:color="auto" w:fill="FFFFFF" w:themeFill="background1"/>
          </w:tcPr>
          <w:p w14:paraId="442A12A4" w14:textId="77777777" w:rsidR="003C13BD" w:rsidRDefault="00822D36" w:rsidP="003C13BD">
            <w:pPr>
              <w:jc w:val="both"/>
              <w:rPr>
                <w:rFonts w:ascii="Times New Roman" w:eastAsia="Times New Roman" w:hAnsi="Times New Roman" w:cs="Times New Roman"/>
                <w:bCs/>
                <w:color w:val="000000"/>
              </w:rPr>
            </w:pPr>
            <w:r w:rsidRPr="00822D36">
              <w:rPr>
                <w:rFonts w:ascii="Times New Roman" w:eastAsia="Times New Roman" w:hAnsi="Times New Roman" w:cs="Times New Roman"/>
                <w:bCs/>
                <w:color w:val="000000"/>
              </w:rPr>
              <w:t>The European Union observes the entire evaluation and award process and endorses the decision of the Contracting Authority recommending the award of contracts.</w:t>
            </w:r>
          </w:p>
          <w:p w14:paraId="65B1A2C2" w14:textId="47BF4593" w:rsidR="003C13BD" w:rsidRPr="00CB32F7" w:rsidRDefault="003C13BD" w:rsidP="003C13BD">
            <w:pPr>
              <w:jc w:val="both"/>
              <w:rPr>
                <w:rFonts w:ascii="Times New Roman" w:eastAsia="Times New Roman" w:hAnsi="Times New Roman" w:cs="Times New Roman"/>
                <w:bCs/>
                <w:color w:val="000000"/>
              </w:rPr>
            </w:pPr>
          </w:p>
        </w:tc>
      </w:tr>
      <w:tr w:rsidR="00822D36" w:rsidRPr="0072347A" w14:paraId="2ADB40A3" w14:textId="77777777" w:rsidTr="00C32B3F">
        <w:tc>
          <w:tcPr>
            <w:tcW w:w="851" w:type="dxa"/>
            <w:shd w:val="clear" w:color="auto" w:fill="FFFFFF" w:themeFill="background1"/>
          </w:tcPr>
          <w:p w14:paraId="727FD417" w14:textId="77777777" w:rsidR="00822D36" w:rsidRPr="006F3819" w:rsidRDefault="00822D36" w:rsidP="002D32F6">
            <w:pPr>
              <w:pStyle w:val="ListParagraph"/>
              <w:numPr>
                <w:ilvl w:val="0"/>
                <w:numId w:val="21"/>
              </w:numPr>
              <w:jc w:val="center"/>
              <w:rPr>
                <w:rFonts w:ascii="Times New Roman" w:eastAsia="Times New Roman" w:hAnsi="Times New Roman" w:cs="Times New Roman"/>
                <w:bCs/>
                <w:color w:val="000000"/>
              </w:rPr>
            </w:pPr>
          </w:p>
        </w:tc>
        <w:tc>
          <w:tcPr>
            <w:tcW w:w="6783" w:type="dxa"/>
            <w:shd w:val="clear" w:color="auto" w:fill="FFFFFF" w:themeFill="background1"/>
          </w:tcPr>
          <w:p w14:paraId="2CF8737D" w14:textId="2FC69539" w:rsidR="00822D36" w:rsidRPr="00822D36" w:rsidRDefault="00822D36" w:rsidP="00EA59DA">
            <w:pPr>
              <w:ind w:left="-54"/>
              <w:jc w:val="both"/>
              <w:rPr>
                <w:rFonts w:ascii="Times New Roman" w:eastAsia="Times New Roman" w:hAnsi="Times New Roman" w:cs="Times New Roman"/>
                <w:bCs/>
                <w:color w:val="000000"/>
              </w:rPr>
            </w:pPr>
            <w:r w:rsidRPr="002D32F6">
              <w:rPr>
                <w:rFonts w:ascii="Times New Roman" w:eastAsia="Times New Roman" w:hAnsi="Times New Roman" w:cs="Times New Roman"/>
                <w:bCs/>
                <w:color w:val="000000"/>
              </w:rPr>
              <w:t>- Since districts are eligible to apply, doesn’t it give them preferential treatment if an applicant wants to partner with them?</w:t>
            </w:r>
          </w:p>
        </w:tc>
        <w:tc>
          <w:tcPr>
            <w:tcW w:w="6776" w:type="dxa"/>
            <w:shd w:val="clear" w:color="auto" w:fill="FFFFFF" w:themeFill="background1"/>
          </w:tcPr>
          <w:p w14:paraId="527342EC" w14:textId="12A539A9" w:rsidR="003C13BD" w:rsidRPr="00CB32F7" w:rsidRDefault="00822D36" w:rsidP="003C13BD">
            <w:pPr>
              <w:jc w:val="both"/>
              <w:rPr>
                <w:rFonts w:ascii="Times New Roman" w:eastAsia="Times New Roman" w:hAnsi="Times New Roman" w:cs="Times New Roman"/>
                <w:bCs/>
                <w:color w:val="000000"/>
              </w:rPr>
            </w:pPr>
            <w:r w:rsidRPr="002D32F6">
              <w:rPr>
                <w:rFonts w:ascii="Times New Roman" w:eastAsia="Times New Roman" w:hAnsi="Times New Roman" w:cs="Times New Roman"/>
                <w:bCs/>
                <w:color w:val="000000"/>
              </w:rPr>
              <w:t xml:space="preserve">Concept Notes will be equally evaluated as described in section 2.3 of the Guidelines for Applicants, pages 22-24. </w:t>
            </w:r>
          </w:p>
        </w:tc>
      </w:tr>
      <w:tr w:rsidR="00DD6B40" w:rsidRPr="0072347A" w14:paraId="6A28F238" w14:textId="77777777" w:rsidTr="00C32B3F">
        <w:tc>
          <w:tcPr>
            <w:tcW w:w="851" w:type="dxa"/>
            <w:shd w:val="clear" w:color="auto" w:fill="FFFFFF" w:themeFill="background1"/>
          </w:tcPr>
          <w:p w14:paraId="6B5F0085" w14:textId="77777777" w:rsidR="00DD6B40" w:rsidRPr="006F3819" w:rsidRDefault="00DD6B40" w:rsidP="002D32F6">
            <w:pPr>
              <w:pStyle w:val="ListParagraph"/>
              <w:numPr>
                <w:ilvl w:val="0"/>
                <w:numId w:val="21"/>
              </w:numPr>
              <w:jc w:val="center"/>
              <w:rPr>
                <w:rFonts w:ascii="Times New Roman" w:eastAsia="Times New Roman" w:hAnsi="Times New Roman" w:cs="Times New Roman"/>
                <w:bCs/>
                <w:color w:val="000000"/>
              </w:rPr>
            </w:pPr>
          </w:p>
        </w:tc>
        <w:tc>
          <w:tcPr>
            <w:tcW w:w="6783" w:type="dxa"/>
            <w:shd w:val="clear" w:color="auto" w:fill="FFFFFF" w:themeFill="background1"/>
          </w:tcPr>
          <w:p w14:paraId="36A3D472" w14:textId="37DBB504" w:rsidR="00DD6B40" w:rsidRPr="00CB32F7" w:rsidRDefault="00DD6B40" w:rsidP="00EA59DA">
            <w:pPr>
              <w:ind w:left="-54"/>
              <w:jc w:val="both"/>
              <w:rPr>
                <w:rFonts w:ascii="Times New Roman" w:eastAsia="Times New Roman" w:hAnsi="Times New Roman" w:cs="Times New Roman"/>
                <w:bCs/>
                <w:color w:val="000000"/>
              </w:rPr>
            </w:pPr>
            <w:r w:rsidRPr="00AE7F3C">
              <w:rPr>
                <w:rFonts w:ascii="Times New Roman" w:eastAsia="Times New Roman" w:hAnsi="Times New Roman" w:cs="Times New Roman"/>
                <w:bCs/>
                <w:color w:val="000000"/>
              </w:rPr>
              <w:t>What is the total number of grants to be awarded in the 5 sub-regions?</w:t>
            </w:r>
          </w:p>
        </w:tc>
        <w:tc>
          <w:tcPr>
            <w:tcW w:w="6776" w:type="dxa"/>
            <w:shd w:val="clear" w:color="auto" w:fill="FFFFFF" w:themeFill="background1"/>
          </w:tcPr>
          <w:p w14:paraId="4619E312" w14:textId="2B43ABF6" w:rsidR="00DD6B40" w:rsidRPr="00CB32F7" w:rsidRDefault="00DD6B40" w:rsidP="00AE7F3C">
            <w:pPr>
              <w:jc w:val="both"/>
              <w:rPr>
                <w:rFonts w:ascii="Times New Roman" w:eastAsia="Times New Roman" w:hAnsi="Times New Roman" w:cs="Times New Roman"/>
                <w:bCs/>
                <w:color w:val="000000"/>
              </w:rPr>
            </w:pPr>
            <w:r w:rsidRPr="00AE7F3C">
              <w:rPr>
                <w:rFonts w:ascii="Times New Roman" w:eastAsia="Times New Roman" w:hAnsi="Times New Roman" w:cs="Times New Roman"/>
                <w:bCs/>
                <w:color w:val="000000"/>
              </w:rPr>
              <w:t xml:space="preserve">There is no defined number of grants to be awarded. </w:t>
            </w:r>
            <w:r>
              <w:rPr>
                <w:rFonts w:ascii="Times New Roman" w:eastAsia="Times New Roman" w:hAnsi="Times New Roman" w:cs="Times New Roman"/>
                <w:bCs/>
                <w:color w:val="000000"/>
              </w:rPr>
              <w:t xml:space="preserve">As specified in section 2.3 of the Guidelines for Applicants, page 24, the number of Concept Notes which will be selected for Step 2 will be reduced, taking account of the ranking, to the number of Concept Notes which is considered adequate to reach the objectives of the programme. It is noted that this number will be decided independently of the available budget for this Call as the budget of the proposed action is only indicative at this stage. </w:t>
            </w:r>
          </w:p>
        </w:tc>
      </w:tr>
      <w:tr w:rsidR="00AD6E17" w:rsidRPr="00D91415" w14:paraId="5EF54FD5" w14:textId="77777777" w:rsidTr="002D32F6">
        <w:tc>
          <w:tcPr>
            <w:tcW w:w="14410" w:type="dxa"/>
            <w:gridSpan w:val="3"/>
            <w:shd w:val="clear" w:color="auto" w:fill="C4ECEE"/>
          </w:tcPr>
          <w:p w14:paraId="2769F944" w14:textId="77777777" w:rsidR="00AD6E17" w:rsidRPr="002D32F6" w:rsidRDefault="00AD6E17" w:rsidP="00B16C27">
            <w:pPr>
              <w:jc w:val="center"/>
              <w:rPr>
                <w:rFonts w:ascii="Times New Roman" w:eastAsia="Times New Roman" w:hAnsi="Times New Roman" w:cs="Times New Roman"/>
                <w:b/>
                <w:bCs/>
                <w:color w:val="000000"/>
                <w:sz w:val="28"/>
              </w:rPr>
            </w:pPr>
            <w:r w:rsidRPr="002D32F6">
              <w:rPr>
                <w:rFonts w:ascii="Times New Roman" w:eastAsia="Times New Roman" w:hAnsi="Times New Roman" w:cs="Times New Roman"/>
                <w:b/>
                <w:bCs/>
                <w:color w:val="000000"/>
                <w:sz w:val="28"/>
              </w:rPr>
              <w:t xml:space="preserve">QUESTIONS AND ANSWERS RELATED TO THE ACTIVITIES </w:t>
            </w:r>
          </w:p>
          <w:p w14:paraId="1CEA2E0C" w14:textId="278C6CF6" w:rsidR="00AD6E17" w:rsidRPr="002D32F6" w:rsidRDefault="00AD6E17" w:rsidP="00B16C27">
            <w:pPr>
              <w:jc w:val="center"/>
              <w:rPr>
                <w:rFonts w:ascii="Times New Roman" w:eastAsia="Times New Roman" w:hAnsi="Times New Roman" w:cs="Times New Roman"/>
                <w:b/>
                <w:bCs/>
                <w:color w:val="000000"/>
                <w:sz w:val="28"/>
              </w:rPr>
            </w:pPr>
            <w:r w:rsidRPr="002D32F6">
              <w:rPr>
                <w:rFonts w:ascii="Times New Roman" w:eastAsia="Times New Roman" w:hAnsi="Times New Roman" w:cs="Times New Roman"/>
                <w:b/>
                <w:bCs/>
                <w:color w:val="000000"/>
                <w:sz w:val="28"/>
              </w:rPr>
              <w:t>OF THE IMPLEMENTING PARTNERS</w:t>
            </w:r>
          </w:p>
        </w:tc>
      </w:tr>
      <w:tr w:rsidR="004A3BAC" w:rsidRPr="0072347A" w14:paraId="39BFFBC1" w14:textId="77777777" w:rsidTr="00C32B3F">
        <w:tc>
          <w:tcPr>
            <w:tcW w:w="851" w:type="dxa"/>
            <w:shd w:val="clear" w:color="auto" w:fill="FFFFFF" w:themeFill="background1"/>
          </w:tcPr>
          <w:p w14:paraId="52E7E330" w14:textId="77777777" w:rsidR="004A3BAC" w:rsidRPr="006F3819" w:rsidRDefault="004A3BAC" w:rsidP="002D32F6">
            <w:pPr>
              <w:pStyle w:val="ListParagraph"/>
              <w:numPr>
                <w:ilvl w:val="0"/>
                <w:numId w:val="21"/>
              </w:numPr>
              <w:jc w:val="center"/>
              <w:rPr>
                <w:rFonts w:ascii="Times New Roman" w:eastAsia="Times New Roman" w:hAnsi="Times New Roman" w:cs="Times New Roman"/>
                <w:bCs/>
                <w:color w:val="000000"/>
              </w:rPr>
            </w:pPr>
          </w:p>
        </w:tc>
        <w:tc>
          <w:tcPr>
            <w:tcW w:w="6783" w:type="dxa"/>
            <w:shd w:val="clear" w:color="auto" w:fill="FFFFFF" w:themeFill="background1"/>
          </w:tcPr>
          <w:p w14:paraId="4AD2128B" w14:textId="77777777" w:rsidR="004A3BAC" w:rsidRDefault="004A3BAC" w:rsidP="00B16C27">
            <w:pPr>
              <w:ind w:left="-54"/>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w:t>
            </w:r>
            <w:r w:rsidRPr="004A3BAC">
              <w:rPr>
                <w:rFonts w:ascii="Times New Roman" w:eastAsia="Times New Roman" w:hAnsi="Times New Roman" w:cs="Times New Roman"/>
                <w:bCs/>
                <w:color w:val="000000"/>
              </w:rPr>
              <w:t>Are the District Nutrition Action Plans developed with UNICEF standardized for all districts or different for each district?</w:t>
            </w:r>
            <w:r w:rsidRPr="008F6DCC">
              <w:rPr>
                <w:rFonts w:ascii="Times New Roman" w:eastAsia="Times New Roman" w:hAnsi="Times New Roman" w:cs="Times New Roman"/>
                <w:bCs/>
                <w:color w:val="000000"/>
              </w:rPr>
              <w:t xml:space="preserve"> </w:t>
            </w:r>
          </w:p>
          <w:p w14:paraId="086D2170" w14:textId="77777777" w:rsidR="004A3BAC" w:rsidRDefault="004A3BAC" w:rsidP="00B16C27">
            <w:pPr>
              <w:ind w:left="-54"/>
              <w:jc w:val="both"/>
              <w:rPr>
                <w:rFonts w:ascii="Times New Roman" w:eastAsia="Times New Roman" w:hAnsi="Times New Roman" w:cs="Times New Roman"/>
                <w:bCs/>
                <w:color w:val="000000"/>
              </w:rPr>
            </w:pPr>
          </w:p>
          <w:p w14:paraId="60EB1785" w14:textId="77777777" w:rsidR="00085426" w:rsidRDefault="004A3BAC" w:rsidP="00B16C27">
            <w:pPr>
              <w:ind w:left="-54"/>
              <w:jc w:val="both"/>
              <w:rPr>
                <w:rFonts w:ascii="Times New Roman" w:eastAsia="Times New Roman" w:hAnsi="Times New Roman" w:cs="Times New Roman"/>
                <w:bCs/>
                <w:color w:val="000000"/>
                <w:highlight w:val="yellow"/>
              </w:rPr>
            </w:pPr>
            <w:r>
              <w:rPr>
                <w:rFonts w:ascii="Times New Roman" w:eastAsia="Times New Roman" w:hAnsi="Times New Roman" w:cs="Times New Roman"/>
                <w:bCs/>
                <w:color w:val="000000"/>
              </w:rPr>
              <w:t xml:space="preserve">- </w:t>
            </w:r>
            <w:r w:rsidRPr="008F6DCC">
              <w:rPr>
                <w:rFonts w:ascii="Times New Roman" w:eastAsia="Times New Roman" w:hAnsi="Times New Roman" w:cs="Times New Roman"/>
                <w:bCs/>
                <w:color w:val="000000"/>
              </w:rPr>
              <w:t>Will the business hubs in Kotido and Lira mentioned in the Scoping Study be implemented when the DFID/TradeMark East Africa action only focuses on the Gulu Logistics Hub?</w:t>
            </w:r>
            <w:r w:rsidR="00085426" w:rsidRPr="00CB32F7">
              <w:rPr>
                <w:rFonts w:ascii="Times New Roman" w:eastAsia="Times New Roman" w:hAnsi="Times New Roman" w:cs="Times New Roman"/>
                <w:bCs/>
                <w:color w:val="000000"/>
                <w:highlight w:val="yellow"/>
              </w:rPr>
              <w:t xml:space="preserve"> </w:t>
            </w:r>
          </w:p>
          <w:p w14:paraId="02DEAEDC" w14:textId="77777777" w:rsidR="00085426" w:rsidRDefault="00085426" w:rsidP="00B16C27">
            <w:pPr>
              <w:ind w:left="-54"/>
              <w:jc w:val="both"/>
              <w:rPr>
                <w:rFonts w:ascii="Times New Roman" w:eastAsia="Times New Roman" w:hAnsi="Times New Roman" w:cs="Times New Roman"/>
                <w:bCs/>
                <w:color w:val="000000"/>
                <w:highlight w:val="yellow"/>
              </w:rPr>
            </w:pPr>
          </w:p>
          <w:p w14:paraId="2A8ABC50" w14:textId="2EDFC2AE" w:rsidR="00993A5B" w:rsidRPr="00993A5B" w:rsidRDefault="00993A5B" w:rsidP="00993A5B">
            <w:pPr>
              <w:ind w:left="-54"/>
              <w:jc w:val="both"/>
              <w:rPr>
                <w:rFonts w:ascii="Times New Roman" w:eastAsia="Times New Roman" w:hAnsi="Times New Roman" w:cs="Times New Roman"/>
                <w:bCs/>
                <w:color w:val="000000"/>
              </w:rPr>
            </w:pPr>
            <w:r w:rsidRPr="00CB32F7">
              <w:rPr>
                <w:rFonts w:ascii="Times New Roman" w:eastAsia="Times New Roman" w:hAnsi="Times New Roman" w:cs="Times New Roman"/>
                <w:bCs/>
                <w:color w:val="000000"/>
              </w:rPr>
              <w:t>- What does the dedic</w:t>
            </w:r>
            <w:r w:rsidR="00127C72">
              <w:rPr>
                <w:rFonts w:ascii="Times New Roman" w:eastAsia="Times New Roman" w:hAnsi="Times New Roman" w:cs="Times New Roman"/>
                <w:bCs/>
                <w:color w:val="000000"/>
              </w:rPr>
              <w:t>ated blended finance facility (</w:t>
            </w:r>
            <w:r w:rsidRPr="00CB32F7">
              <w:rPr>
                <w:rFonts w:ascii="Times New Roman" w:eastAsia="Times New Roman" w:hAnsi="Times New Roman" w:cs="Times New Roman"/>
                <w:bCs/>
                <w:color w:val="000000"/>
              </w:rPr>
              <w:t>support to Agricultural revitalization and transformation fund) i.e. START cover or what is supposed to be spent on?</w:t>
            </w:r>
          </w:p>
          <w:p w14:paraId="276701DC" w14:textId="77777777" w:rsidR="00993A5B" w:rsidRPr="00993A5B" w:rsidRDefault="00993A5B" w:rsidP="00993A5B">
            <w:pPr>
              <w:ind w:left="-54"/>
              <w:jc w:val="both"/>
              <w:rPr>
                <w:rFonts w:ascii="Times New Roman" w:eastAsia="Times New Roman" w:hAnsi="Times New Roman" w:cs="Times New Roman"/>
                <w:bCs/>
                <w:color w:val="000000"/>
              </w:rPr>
            </w:pPr>
          </w:p>
          <w:p w14:paraId="25039144" w14:textId="103D38C8" w:rsidR="00993A5B" w:rsidRPr="00AE7F3C" w:rsidRDefault="00993A5B" w:rsidP="003C13BD">
            <w:pPr>
              <w:ind w:left="-54"/>
              <w:jc w:val="both"/>
              <w:rPr>
                <w:rFonts w:ascii="Times New Roman" w:eastAsia="Times New Roman" w:hAnsi="Times New Roman" w:cs="Times New Roman"/>
                <w:bCs/>
                <w:color w:val="000000"/>
              </w:rPr>
            </w:pPr>
            <w:r w:rsidRPr="00CB32F7">
              <w:rPr>
                <w:rFonts w:ascii="Times New Roman" w:eastAsia="Times New Roman" w:hAnsi="Times New Roman" w:cs="Times New Roman"/>
                <w:bCs/>
                <w:color w:val="000000"/>
              </w:rPr>
              <w:t>- What is the purpose of Local Government Excellence Fund?  How is supposed to be used or be spent on?</w:t>
            </w:r>
          </w:p>
        </w:tc>
        <w:tc>
          <w:tcPr>
            <w:tcW w:w="6776" w:type="dxa"/>
            <w:shd w:val="clear" w:color="auto" w:fill="FFFFFF" w:themeFill="background1"/>
          </w:tcPr>
          <w:p w14:paraId="098FFB65" w14:textId="60A70A30" w:rsidR="00085426" w:rsidRDefault="004A3BAC" w:rsidP="004A3BAC">
            <w:pPr>
              <w:jc w:val="both"/>
              <w:rPr>
                <w:rFonts w:ascii="Times New Roman" w:eastAsia="Times New Roman" w:hAnsi="Times New Roman" w:cs="Times New Roman"/>
                <w:bCs/>
                <w:color w:val="000000"/>
              </w:rPr>
            </w:pPr>
            <w:r w:rsidRPr="002D32F6">
              <w:rPr>
                <w:rFonts w:ascii="Times New Roman" w:eastAsia="Times New Roman" w:hAnsi="Times New Roman" w:cs="Times New Roman"/>
                <w:bCs/>
                <w:color w:val="000000"/>
              </w:rPr>
              <w:t xml:space="preserve">This question relates to interventions </w:t>
            </w:r>
            <w:r w:rsidR="00993A5B">
              <w:rPr>
                <w:rFonts w:ascii="Times New Roman" w:eastAsia="Times New Roman" w:hAnsi="Times New Roman" w:cs="Times New Roman"/>
                <w:bCs/>
                <w:color w:val="000000"/>
              </w:rPr>
              <w:t xml:space="preserve">implemented </w:t>
            </w:r>
            <w:r w:rsidRPr="002D32F6">
              <w:rPr>
                <w:rFonts w:ascii="Times New Roman" w:eastAsia="Times New Roman" w:hAnsi="Times New Roman" w:cs="Times New Roman"/>
                <w:bCs/>
                <w:color w:val="000000"/>
              </w:rPr>
              <w:t xml:space="preserve">by DINU Implementing Partners. </w:t>
            </w:r>
          </w:p>
          <w:p w14:paraId="68F7C852" w14:textId="77777777" w:rsidR="00085426" w:rsidRDefault="00085426" w:rsidP="004A3BAC">
            <w:pPr>
              <w:jc w:val="both"/>
              <w:rPr>
                <w:rFonts w:ascii="Times New Roman" w:eastAsia="Times New Roman" w:hAnsi="Times New Roman" w:cs="Times New Roman"/>
                <w:bCs/>
                <w:color w:val="000000"/>
              </w:rPr>
            </w:pPr>
          </w:p>
          <w:p w14:paraId="260A057A" w14:textId="73ABF56E" w:rsidR="00085426" w:rsidRDefault="00085426" w:rsidP="004A3BAC">
            <w:pPr>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At Step 1, only r</w:t>
            </w:r>
            <w:r w:rsidR="004A3BAC" w:rsidRPr="002D32F6">
              <w:rPr>
                <w:rFonts w:ascii="Times New Roman" w:eastAsia="Times New Roman" w:hAnsi="Times New Roman" w:cs="Times New Roman"/>
                <w:bCs/>
                <w:color w:val="000000"/>
              </w:rPr>
              <w:t xml:space="preserve">efer to Annex I of the Guidelines for Applicants as well as to the presentation made during the information sessions </w:t>
            </w:r>
            <w:r w:rsidR="004A3BAC">
              <w:rPr>
                <w:rFonts w:ascii="Times New Roman" w:eastAsia="Times New Roman" w:hAnsi="Times New Roman" w:cs="Times New Roman"/>
                <w:bCs/>
                <w:color w:val="000000"/>
              </w:rPr>
              <w:t xml:space="preserve">on the various </w:t>
            </w:r>
            <w:r w:rsidR="004A3BAC" w:rsidRPr="002D32F6">
              <w:rPr>
                <w:rFonts w:ascii="Times New Roman" w:eastAsia="Times New Roman" w:hAnsi="Times New Roman" w:cs="Times New Roman"/>
                <w:bCs/>
                <w:color w:val="000000"/>
              </w:rPr>
              <w:t>component</w:t>
            </w:r>
            <w:r w:rsidR="004A3BAC">
              <w:rPr>
                <w:rFonts w:ascii="Times New Roman" w:eastAsia="Times New Roman" w:hAnsi="Times New Roman" w:cs="Times New Roman"/>
                <w:bCs/>
                <w:color w:val="000000"/>
              </w:rPr>
              <w:t>s</w:t>
            </w:r>
            <w:r w:rsidR="004A3BAC" w:rsidRPr="002D32F6">
              <w:rPr>
                <w:rFonts w:ascii="Times New Roman" w:eastAsia="Times New Roman" w:hAnsi="Times New Roman" w:cs="Times New Roman"/>
                <w:bCs/>
                <w:color w:val="000000"/>
              </w:rPr>
              <w:t xml:space="preserve"> and accessible on the </w:t>
            </w:r>
            <w:r w:rsidRPr="00E316FF">
              <w:rPr>
                <w:rFonts w:ascii="Times New Roman" w:eastAsia="Times New Roman" w:hAnsi="Times New Roman" w:cs="Times New Roman"/>
                <w:bCs/>
                <w:color w:val="000000"/>
              </w:rPr>
              <w:t xml:space="preserve">websites of the Ministry of Finance, Planning and Economic Development: </w:t>
            </w:r>
            <w:hyperlink r:id="rId18" w:history="1">
              <w:r w:rsidRPr="00CB32F7">
                <w:rPr>
                  <w:rFonts w:ascii="Times New Roman" w:eastAsia="Times New Roman" w:hAnsi="Times New Roman" w:cs="Times New Roman"/>
                  <w:bCs/>
                  <w:color w:val="000000"/>
                </w:rPr>
                <w:t>https://www.finance.go.ug/</w:t>
              </w:r>
            </w:hyperlink>
            <w:r w:rsidRPr="00E316FF">
              <w:rPr>
                <w:rFonts w:ascii="Times New Roman" w:eastAsia="Times New Roman" w:hAnsi="Times New Roman" w:cs="Times New Roman"/>
                <w:bCs/>
                <w:color w:val="000000"/>
              </w:rPr>
              <w:t xml:space="preserve">, of the Office of the Prime Minister: </w:t>
            </w:r>
            <w:hyperlink r:id="rId19" w:history="1">
              <w:r w:rsidRPr="00E316FF">
                <w:rPr>
                  <w:rFonts w:ascii="Times New Roman" w:eastAsia="Times New Roman" w:hAnsi="Times New Roman" w:cs="Times New Roman"/>
                  <w:bCs/>
                  <w:color w:val="000000"/>
                </w:rPr>
                <w:t>https://www.opm.go.ug/</w:t>
              </w:r>
            </w:hyperlink>
            <w:r w:rsidRPr="00E316FF">
              <w:rPr>
                <w:rFonts w:ascii="Times New Roman" w:eastAsia="Times New Roman" w:hAnsi="Times New Roman" w:cs="Times New Roman"/>
                <w:bCs/>
                <w:color w:val="000000"/>
              </w:rPr>
              <w:t xml:space="preserve"> as well as of DG International Cooperation and Development: </w:t>
            </w:r>
            <w:hyperlink r:id="rId20" w:history="1">
              <w:r w:rsidRPr="00E316FF">
                <w:rPr>
                  <w:rFonts w:ascii="Times New Roman" w:eastAsia="Times New Roman" w:hAnsi="Times New Roman" w:cs="Times New Roman"/>
                  <w:bCs/>
                  <w:color w:val="000000"/>
                </w:rPr>
                <w:t>https://webgate.ec.europa.eu/europeaid/online-services/index.cfm?do=publi.welcome</w:t>
              </w:r>
            </w:hyperlink>
            <w:r>
              <w:rPr>
                <w:rFonts w:ascii="Times New Roman" w:eastAsia="Times New Roman" w:hAnsi="Times New Roman" w:cs="Times New Roman"/>
                <w:bCs/>
                <w:color w:val="000000"/>
              </w:rPr>
              <w:t>.</w:t>
            </w:r>
          </w:p>
          <w:p w14:paraId="0871E818" w14:textId="77777777" w:rsidR="00085426" w:rsidRDefault="00085426" w:rsidP="004A3BAC">
            <w:pPr>
              <w:jc w:val="both"/>
              <w:rPr>
                <w:rFonts w:ascii="Times New Roman" w:eastAsia="Times New Roman" w:hAnsi="Times New Roman" w:cs="Times New Roman"/>
                <w:bCs/>
                <w:color w:val="000000"/>
              </w:rPr>
            </w:pPr>
          </w:p>
          <w:p w14:paraId="14E8959A" w14:textId="64C52BB3" w:rsidR="004A3BAC" w:rsidRPr="004A3BAC" w:rsidRDefault="004A3BAC" w:rsidP="004A3BAC">
            <w:pPr>
              <w:jc w:val="both"/>
              <w:rPr>
                <w:rFonts w:ascii="Times New Roman" w:eastAsia="Times New Roman" w:hAnsi="Times New Roman" w:cs="Times New Roman"/>
                <w:bCs/>
                <w:color w:val="000000"/>
              </w:rPr>
            </w:pPr>
          </w:p>
        </w:tc>
      </w:tr>
      <w:tr w:rsidR="00085426" w:rsidRPr="0072347A" w14:paraId="59AC4354" w14:textId="77777777" w:rsidTr="00C32B3F">
        <w:tc>
          <w:tcPr>
            <w:tcW w:w="851" w:type="dxa"/>
            <w:shd w:val="clear" w:color="auto" w:fill="FFFFFF" w:themeFill="background1"/>
          </w:tcPr>
          <w:p w14:paraId="3500D52B" w14:textId="77777777" w:rsidR="00085426" w:rsidRPr="006F3819" w:rsidRDefault="00085426" w:rsidP="002D32F6">
            <w:pPr>
              <w:pStyle w:val="ListParagraph"/>
              <w:numPr>
                <w:ilvl w:val="0"/>
                <w:numId w:val="21"/>
              </w:numPr>
              <w:jc w:val="center"/>
              <w:rPr>
                <w:rFonts w:ascii="Times New Roman" w:eastAsia="Times New Roman" w:hAnsi="Times New Roman" w:cs="Times New Roman"/>
                <w:bCs/>
                <w:color w:val="000000"/>
              </w:rPr>
            </w:pPr>
          </w:p>
        </w:tc>
        <w:tc>
          <w:tcPr>
            <w:tcW w:w="6783" w:type="dxa"/>
            <w:shd w:val="clear" w:color="auto" w:fill="FFFFFF" w:themeFill="background1"/>
          </w:tcPr>
          <w:p w14:paraId="7BFEA5CA" w14:textId="1F615AE1" w:rsidR="00085426" w:rsidRDefault="00085426" w:rsidP="00B16C27">
            <w:pPr>
              <w:ind w:left="-54"/>
              <w:jc w:val="both"/>
              <w:rPr>
                <w:rFonts w:ascii="Times New Roman" w:eastAsia="Times New Roman" w:hAnsi="Times New Roman" w:cs="Times New Roman"/>
                <w:bCs/>
                <w:color w:val="000000"/>
              </w:rPr>
            </w:pPr>
            <w:r w:rsidRPr="002D32F6">
              <w:rPr>
                <w:rFonts w:ascii="Times New Roman" w:eastAsia="Times New Roman" w:hAnsi="Times New Roman" w:cs="Times New Roman"/>
                <w:bCs/>
                <w:color w:val="000000"/>
              </w:rPr>
              <w:t>- What is the role of implementing partners in supporting applicants to develop their proposals?</w:t>
            </w:r>
          </w:p>
        </w:tc>
        <w:tc>
          <w:tcPr>
            <w:tcW w:w="6776" w:type="dxa"/>
            <w:shd w:val="clear" w:color="auto" w:fill="FFFFFF" w:themeFill="background1"/>
          </w:tcPr>
          <w:p w14:paraId="4A9FC9AC" w14:textId="77777777" w:rsidR="00993A5B" w:rsidRDefault="00993A5B" w:rsidP="00993A5B">
            <w:pPr>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At Step 1, no direct contact with DINU Implementing Partners is allowed in order to ensure equal treatment of applicants. </w:t>
            </w:r>
          </w:p>
          <w:p w14:paraId="00D55232" w14:textId="77777777" w:rsidR="00993A5B" w:rsidRDefault="00993A5B" w:rsidP="00993A5B">
            <w:pPr>
              <w:jc w:val="both"/>
              <w:rPr>
                <w:rFonts w:ascii="Times New Roman" w:eastAsia="Times New Roman" w:hAnsi="Times New Roman" w:cs="Times New Roman"/>
                <w:bCs/>
                <w:color w:val="000000"/>
              </w:rPr>
            </w:pPr>
          </w:p>
          <w:p w14:paraId="63935DBB" w14:textId="77777777" w:rsidR="00085426" w:rsidRDefault="00993A5B" w:rsidP="00993A5B">
            <w:pPr>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D</w:t>
            </w:r>
            <w:r w:rsidR="00085426" w:rsidRPr="00A252C3">
              <w:rPr>
                <w:rFonts w:ascii="Times New Roman" w:eastAsia="Times New Roman" w:hAnsi="Times New Roman" w:cs="Times New Roman"/>
                <w:bCs/>
                <w:color w:val="000000"/>
              </w:rPr>
              <w:t xml:space="preserve">iscussions will take place between the selected applicants with implementing partners </w:t>
            </w:r>
            <w:r>
              <w:rPr>
                <w:rFonts w:ascii="Times New Roman" w:eastAsia="Times New Roman" w:hAnsi="Times New Roman" w:cs="Times New Roman"/>
                <w:bCs/>
                <w:color w:val="000000"/>
              </w:rPr>
              <w:t xml:space="preserve">at Step 2 in order to ensure synergies and complementarities. </w:t>
            </w:r>
          </w:p>
          <w:p w14:paraId="732B280C" w14:textId="6F08B402" w:rsidR="003C13BD" w:rsidRPr="00085426" w:rsidRDefault="003C13BD" w:rsidP="00993A5B">
            <w:pPr>
              <w:jc w:val="both"/>
              <w:rPr>
                <w:rFonts w:ascii="Times New Roman" w:eastAsia="Times New Roman" w:hAnsi="Times New Roman" w:cs="Times New Roman"/>
                <w:bCs/>
                <w:color w:val="000000"/>
              </w:rPr>
            </w:pPr>
          </w:p>
        </w:tc>
      </w:tr>
      <w:tr w:rsidR="00AD6E17" w:rsidRPr="00D91415" w14:paraId="49823E7B" w14:textId="77777777" w:rsidTr="002D32F6">
        <w:tc>
          <w:tcPr>
            <w:tcW w:w="14410" w:type="dxa"/>
            <w:gridSpan w:val="3"/>
            <w:shd w:val="clear" w:color="auto" w:fill="FFFFB9"/>
          </w:tcPr>
          <w:p w14:paraId="20C519BA" w14:textId="77777777" w:rsidR="00AD6E17" w:rsidRPr="002D32F6" w:rsidRDefault="00AD6E17" w:rsidP="00A67F07">
            <w:pPr>
              <w:jc w:val="center"/>
              <w:rPr>
                <w:rFonts w:ascii="Times New Roman" w:eastAsia="Times New Roman" w:hAnsi="Times New Roman" w:cs="Times New Roman"/>
                <w:b/>
                <w:bCs/>
                <w:color w:val="000000"/>
                <w:sz w:val="28"/>
              </w:rPr>
            </w:pPr>
            <w:r w:rsidRPr="002D32F6">
              <w:rPr>
                <w:rFonts w:ascii="Times New Roman" w:eastAsia="Times New Roman" w:hAnsi="Times New Roman" w:cs="Times New Roman"/>
                <w:b/>
                <w:bCs/>
                <w:color w:val="000000"/>
                <w:sz w:val="28"/>
              </w:rPr>
              <w:t xml:space="preserve">OTHER QUESTIONS AND ANSWERS </w:t>
            </w:r>
          </w:p>
          <w:p w14:paraId="3625217B" w14:textId="4478C844" w:rsidR="00AD6E17" w:rsidRPr="002D32F6" w:rsidRDefault="00AD6E17" w:rsidP="00A67F07">
            <w:pPr>
              <w:jc w:val="center"/>
              <w:rPr>
                <w:rFonts w:ascii="Times New Roman" w:eastAsia="Times New Roman" w:hAnsi="Times New Roman" w:cs="Times New Roman"/>
                <w:b/>
                <w:bCs/>
                <w:color w:val="000000"/>
                <w:sz w:val="28"/>
              </w:rPr>
            </w:pPr>
            <w:r w:rsidRPr="002D32F6">
              <w:rPr>
                <w:rFonts w:ascii="Times New Roman" w:eastAsia="Times New Roman" w:hAnsi="Times New Roman" w:cs="Times New Roman"/>
                <w:b/>
                <w:bCs/>
                <w:color w:val="000000"/>
                <w:sz w:val="28"/>
              </w:rPr>
              <w:t>RELATED TO THE DINU CALL FOR CONCEPT NOTES</w:t>
            </w:r>
          </w:p>
        </w:tc>
      </w:tr>
      <w:tr w:rsidR="004A3BAC" w:rsidRPr="0072347A" w14:paraId="02E7F506" w14:textId="77777777" w:rsidTr="00C32B3F">
        <w:tc>
          <w:tcPr>
            <w:tcW w:w="851" w:type="dxa"/>
            <w:shd w:val="clear" w:color="auto" w:fill="FFFFFF" w:themeFill="background1"/>
          </w:tcPr>
          <w:p w14:paraId="417E560B" w14:textId="77777777" w:rsidR="004A3BAC" w:rsidRPr="006F3819" w:rsidRDefault="004A3BAC" w:rsidP="00C32B3F">
            <w:pPr>
              <w:pStyle w:val="ListParagraph"/>
              <w:numPr>
                <w:ilvl w:val="0"/>
                <w:numId w:val="21"/>
              </w:numPr>
              <w:shd w:val="clear" w:color="auto" w:fill="FFFFFF" w:themeFill="background1"/>
              <w:jc w:val="center"/>
              <w:rPr>
                <w:rFonts w:ascii="Times New Roman" w:eastAsia="Times New Roman" w:hAnsi="Times New Roman" w:cs="Times New Roman"/>
                <w:bCs/>
                <w:color w:val="000000"/>
              </w:rPr>
            </w:pPr>
          </w:p>
        </w:tc>
        <w:tc>
          <w:tcPr>
            <w:tcW w:w="6783" w:type="dxa"/>
            <w:shd w:val="clear" w:color="auto" w:fill="FFFFFF" w:themeFill="background1"/>
          </w:tcPr>
          <w:p w14:paraId="26B7B4D8" w14:textId="77777777" w:rsidR="004A3BAC" w:rsidRDefault="004A3BAC" w:rsidP="00C32B3F">
            <w:pPr>
              <w:shd w:val="clear" w:color="auto" w:fill="FFFFFF" w:themeFill="background1"/>
              <w:ind w:left="-54"/>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w:t>
            </w:r>
            <w:r w:rsidRPr="00C009AD">
              <w:rPr>
                <w:rFonts w:ascii="Times New Roman" w:eastAsia="Times New Roman" w:hAnsi="Times New Roman" w:cs="Times New Roman"/>
                <w:bCs/>
                <w:color w:val="000000"/>
              </w:rPr>
              <w:t>Is it possible to upload these very important presentations early before 16 June 2019?</w:t>
            </w:r>
          </w:p>
        </w:tc>
        <w:tc>
          <w:tcPr>
            <w:tcW w:w="6776" w:type="dxa"/>
            <w:shd w:val="clear" w:color="auto" w:fill="FFFFFF" w:themeFill="background1"/>
          </w:tcPr>
          <w:p w14:paraId="70A19BEE" w14:textId="77777777" w:rsidR="004A3BAC" w:rsidRPr="00E316FF" w:rsidRDefault="004A3BAC" w:rsidP="00C32B3F">
            <w:pPr>
              <w:shd w:val="clear" w:color="auto" w:fill="FFFFFF" w:themeFill="background1"/>
              <w:jc w:val="both"/>
              <w:rPr>
                <w:rFonts w:ascii="Times New Roman" w:eastAsia="Times New Roman" w:hAnsi="Times New Roman" w:cs="Times New Roman"/>
                <w:bCs/>
                <w:color w:val="000000"/>
              </w:rPr>
            </w:pPr>
            <w:r w:rsidRPr="00E316FF">
              <w:rPr>
                <w:rFonts w:ascii="Times New Roman" w:eastAsia="Times New Roman" w:hAnsi="Times New Roman" w:cs="Times New Roman"/>
                <w:bCs/>
                <w:color w:val="000000"/>
              </w:rPr>
              <w:t xml:space="preserve">The presentations have been uploaded at the following on the websites of the Ministry of Finance, Planning and Economic Development: </w:t>
            </w:r>
            <w:hyperlink r:id="rId21" w:history="1">
              <w:r w:rsidRPr="00CB32F7">
                <w:rPr>
                  <w:rFonts w:ascii="Times New Roman" w:eastAsia="Times New Roman" w:hAnsi="Times New Roman" w:cs="Times New Roman"/>
                  <w:bCs/>
                  <w:color w:val="000000"/>
                </w:rPr>
                <w:t>https://www.finance.go.ug/</w:t>
              </w:r>
            </w:hyperlink>
            <w:r w:rsidRPr="00E316FF">
              <w:rPr>
                <w:rFonts w:ascii="Times New Roman" w:eastAsia="Times New Roman" w:hAnsi="Times New Roman" w:cs="Times New Roman"/>
                <w:bCs/>
                <w:color w:val="000000"/>
              </w:rPr>
              <w:t xml:space="preserve">, of the Office of the Prime Minister: </w:t>
            </w:r>
            <w:hyperlink r:id="rId22" w:history="1">
              <w:r w:rsidRPr="00E316FF">
                <w:rPr>
                  <w:rFonts w:ascii="Times New Roman" w:eastAsia="Times New Roman" w:hAnsi="Times New Roman" w:cs="Times New Roman"/>
                  <w:bCs/>
                  <w:color w:val="000000"/>
                </w:rPr>
                <w:t>https://www.opm.go.ug/</w:t>
              </w:r>
            </w:hyperlink>
            <w:r w:rsidRPr="00E316FF">
              <w:rPr>
                <w:rFonts w:ascii="Times New Roman" w:eastAsia="Times New Roman" w:hAnsi="Times New Roman" w:cs="Times New Roman"/>
                <w:bCs/>
                <w:color w:val="000000"/>
              </w:rPr>
              <w:t xml:space="preserve"> as well as of DG International Cooperation and Development: </w:t>
            </w:r>
            <w:hyperlink r:id="rId23" w:history="1">
              <w:r w:rsidRPr="00E316FF">
                <w:rPr>
                  <w:rFonts w:ascii="Times New Roman" w:eastAsia="Times New Roman" w:hAnsi="Times New Roman" w:cs="Times New Roman"/>
                  <w:bCs/>
                  <w:color w:val="000000"/>
                </w:rPr>
                <w:t>https://webgate.ec.europa.eu/europeaid/online-services/index.cfm?do=publi.welcome</w:t>
              </w:r>
            </w:hyperlink>
          </w:p>
        </w:tc>
      </w:tr>
      <w:tr w:rsidR="004A3BAC" w:rsidRPr="0072347A" w14:paraId="50C46006" w14:textId="77777777" w:rsidTr="00C32B3F">
        <w:tc>
          <w:tcPr>
            <w:tcW w:w="851" w:type="dxa"/>
            <w:shd w:val="clear" w:color="auto" w:fill="FFFFFF" w:themeFill="background1"/>
          </w:tcPr>
          <w:p w14:paraId="1A6C2420" w14:textId="77777777" w:rsidR="004A3BAC" w:rsidRPr="006F3819" w:rsidRDefault="004A3BAC" w:rsidP="00C32B3F">
            <w:pPr>
              <w:pStyle w:val="ListParagraph"/>
              <w:numPr>
                <w:ilvl w:val="0"/>
                <w:numId w:val="21"/>
              </w:numPr>
              <w:shd w:val="clear" w:color="auto" w:fill="FFFFFF" w:themeFill="background1"/>
              <w:jc w:val="center"/>
              <w:rPr>
                <w:rFonts w:ascii="Times New Roman" w:eastAsia="Times New Roman" w:hAnsi="Times New Roman" w:cs="Times New Roman"/>
                <w:bCs/>
                <w:color w:val="000000"/>
              </w:rPr>
            </w:pPr>
          </w:p>
        </w:tc>
        <w:tc>
          <w:tcPr>
            <w:tcW w:w="6783" w:type="dxa"/>
            <w:shd w:val="clear" w:color="auto" w:fill="FFFFFF" w:themeFill="background1"/>
          </w:tcPr>
          <w:p w14:paraId="41B29606" w14:textId="340E34AC" w:rsidR="004A3BAC" w:rsidRDefault="004A3BAC" w:rsidP="00C32B3F">
            <w:pPr>
              <w:shd w:val="clear" w:color="auto" w:fill="FFFFFF" w:themeFill="background1"/>
              <w:ind w:left="-54"/>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w:t>
            </w:r>
            <w:r w:rsidRPr="004949BD">
              <w:rPr>
                <w:rFonts w:ascii="Times New Roman" w:eastAsia="Times New Roman" w:hAnsi="Times New Roman" w:cs="Times New Roman"/>
                <w:bCs/>
                <w:color w:val="000000"/>
              </w:rPr>
              <w:t>Is there a toll-free line to communicate any malpractice?</w:t>
            </w:r>
          </w:p>
        </w:tc>
        <w:tc>
          <w:tcPr>
            <w:tcW w:w="6776" w:type="dxa"/>
            <w:shd w:val="clear" w:color="auto" w:fill="FFFFFF" w:themeFill="background1"/>
          </w:tcPr>
          <w:p w14:paraId="51B60500" w14:textId="77777777" w:rsidR="004A3BAC" w:rsidRPr="004949BD" w:rsidRDefault="004A3BAC" w:rsidP="00C32B3F">
            <w:pPr>
              <w:shd w:val="clear" w:color="auto" w:fill="FFFFFF" w:themeFill="background1"/>
              <w:jc w:val="both"/>
              <w:rPr>
                <w:rFonts w:ascii="Times New Roman" w:eastAsia="Times New Roman" w:hAnsi="Times New Roman" w:cs="Times New Roman"/>
                <w:bCs/>
                <w:color w:val="000000"/>
              </w:rPr>
            </w:pPr>
            <w:r w:rsidRPr="004949BD">
              <w:rPr>
                <w:rFonts w:ascii="Times New Roman" w:eastAsia="Times New Roman" w:hAnsi="Times New Roman" w:cs="Times New Roman"/>
                <w:bCs/>
                <w:color w:val="000000"/>
              </w:rPr>
              <w:t>Please report suspected improper activities to the Inspectorate of Government through the following website: https://www.igg.go.ug</w:t>
            </w:r>
          </w:p>
          <w:p w14:paraId="7B323912" w14:textId="4EEABE9F" w:rsidR="004A3BAC" w:rsidRPr="00E316FF" w:rsidRDefault="004A3BAC" w:rsidP="00C32B3F">
            <w:pPr>
              <w:shd w:val="clear" w:color="auto" w:fill="FFFFFF" w:themeFill="background1"/>
              <w:jc w:val="both"/>
              <w:rPr>
                <w:rFonts w:ascii="Times New Roman" w:eastAsia="Times New Roman" w:hAnsi="Times New Roman" w:cs="Times New Roman"/>
                <w:bCs/>
                <w:color w:val="000000"/>
              </w:rPr>
            </w:pPr>
            <w:r w:rsidRPr="004949BD">
              <w:rPr>
                <w:rFonts w:ascii="Times New Roman" w:eastAsia="Times New Roman" w:hAnsi="Times New Roman" w:cs="Times New Roman"/>
                <w:bCs/>
                <w:color w:val="000000"/>
              </w:rPr>
              <w:t>The website has an option of ''Report a case''.</w:t>
            </w:r>
          </w:p>
        </w:tc>
      </w:tr>
      <w:tr w:rsidR="004A3BAC" w:rsidRPr="0072347A" w14:paraId="61AC23F0" w14:textId="77777777" w:rsidTr="00C32B3F">
        <w:trPr>
          <w:trHeight w:val="1865"/>
        </w:trPr>
        <w:tc>
          <w:tcPr>
            <w:tcW w:w="851" w:type="dxa"/>
            <w:shd w:val="clear" w:color="auto" w:fill="FFFFFF" w:themeFill="background1"/>
          </w:tcPr>
          <w:p w14:paraId="3EE401F6" w14:textId="77777777" w:rsidR="004A3BAC" w:rsidRPr="006F3819" w:rsidRDefault="004A3BAC" w:rsidP="00C32B3F">
            <w:pPr>
              <w:pStyle w:val="ListParagraph"/>
              <w:numPr>
                <w:ilvl w:val="0"/>
                <w:numId w:val="21"/>
              </w:numPr>
              <w:shd w:val="clear" w:color="auto" w:fill="FFFFFF" w:themeFill="background1"/>
              <w:jc w:val="center"/>
              <w:rPr>
                <w:rFonts w:ascii="Times New Roman" w:eastAsia="Times New Roman" w:hAnsi="Times New Roman" w:cs="Times New Roman"/>
                <w:bCs/>
                <w:color w:val="000000"/>
              </w:rPr>
            </w:pPr>
          </w:p>
        </w:tc>
        <w:tc>
          <w:tcPr>
            <w:tcW w:w="6783" w:type="dxa"/>
            <w:shd w:val="clear" w:color="auto" w:fill="FFFFFF" w:themeFill="background1"/>
          </w:tcPr>
          <w:p w14:paraId="4C2C0FC9" w14:textId="74F438E9" w:rsidR="004A3BAC" w:rsidRDefault="00993A5B" w:rsidP="00C32B3F">
            <w:pPr>
              <w:shd w:val="clear" w:color="auto" w:fill="FFFFFF" w:themeFill="background1"/>
              <w:ind w:left="-54"/>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w:t>
            </w:r>
            <w:r w:rsidRPr="00993A5B">
              <w:rPr>
                <w:rFonts w:ascii="Times New Roman" w:eastAsia="Times New Roman" w:hAnsi="Times New Roman" w:cs="Times New Roman"/>
                <w:bCs/>
                <w:color w:val="000000"/>
              </w:rPr>
              <w:t xml:space="preserve">In the DINU Action document what is meant by item 7 given as DAC code(s) as indicated below?  What do the percentages mean?  While Rural development has 100%, the summation of all other percentages is more than 100%? 43040 – Rural development - 100%; 31120 – Agricultural development - 18%; 31130 – Agricultural land resources - 6%; 31140 – Agricultural water resources - 3%; 31150 – Agricultural inputs - 4% ; 31161 – Food crop production - 9%; </w:t>
            </w:r>
            <w:r w:rsidR="003C13BD">
              <w:rPr>
                <w:rFonts w:ascii="Times New Roman" w:eastAsia="Times New Roman" w:hAnsi="Times New Roman" w:cs="Times New Roman"/>
                <w:bCs/>
                <w:color w:val="000000"/>
              </w:rPr>
              <w:t>etc.</w:t>
            </w:r>
          </w:p>
        </w:tc>
        <w:tc>
          <w:tcPr>
            <w:tcW w:w="6776" w:type="dxa"/>
            <w:shd w:val="clear" w:color="auto" w:fill="FFFFFF" w:themeFill="background1"/>
          </w:tcPr>
          <w:p w14:paraId="51666E8E" w14:textId="2B705A78" w:rsidR="004A3BAC" w:rsidRPr="00E316FF" w:rsidRDefault="00993A5B" w:rsidP="00C32B3F">
            <w:pPr>
              <w:shd w:val="clear" w:color="auto" w:fill="FFFFFF" w:themeFill="background1"/>
              <w:jc w:val="both"/>
              <w:rPr>
                <w:rFonts w:ascii="Times New Roman" w:eastAsia="Times New Roman" w:hAnsi="Times New Roman" w:cs="Times New Roman"/>
                <w:bCs/>
                <w:color w:val="000000"/>
              </w:rPr>
            </w:pPr>
            <w:r>
              <w:rPr>
                <w:rFonts w:ascii="Times New Roman" w:hAnsi="Times New Roman" w:cs="Times New Roman"/>
              </w:rPr>
              <w:t>The Guidelines for Applicants do not provide guidance on this specific question which is not relevant for this Call.</w:t>
            </w:r>
          </w:p>
        </w:tc>
      </w:tr>
      <w:tr w:rsidR="004A3BAC" w:rsidRPr="00914BD3" w14:paraId="26557A4D" w14:textId="77777777" w:rsidTr="00C32B3F">
        <w:tc>
          <w:tcPr>
            <w:tcW w:w="851" w:type="dxa"/>
            <w:shd w:val="clear" w:color="auto" w:fill="FFFFFF" w:themeFill="background1"/>
          </w:tcPr>
          <w:p w14:paraId="279EEBFD" w14:textId="77777777" w:rsidR="004A3BAC" w:rsidRPr="004949BD" w:rsidRDefault="004A3BAC" w:rsidP="00C32B3F">
            <w:pPr>
              <w:pStyle w:val="ListParagraph"/>
              <w:numPr>
                <w:ilvl w:val="0"/>
                <w:numId w:val="21"/>
              </w:numPr>
              <w:shd w:val="clear" w:color="auto" w:fill="FFFFFF" w:themeFill="background1"/>
              <w:jc w:val="center"/>
              <w:rPr>
                <w:rFonts w:ascii="Times New Roman" w:eastAsia="Times New Roman" w:hAnsi="Times New Roman" w:cs="Times New Roman"/>
                <w:bCs/>
                <w:color w:val="000000"/>
              </w:rPr>
            </w:pPr>
          </w:p>
        </w:tc>
        <w:tc>
          <w:tcPr>
            <w:tcW w:w="6783" w:type="dxa"/>
            <w:shd w:val="clear" w:color="auto" w:fill="FFFFFF" w:themeFill="background1"/>
          </w:tcPr>
          <w:p w14:paraId="16D00887" w14:textId="77777777" w:rsidR="004A3BAC" w:rsidRPr="004949BD" w:rsidRDefault="004A3BAC" w:rsidP="00C32B3F">
            <w:pPr>
              <w:shd w:val="clear" w:color="auto" w:fill="FFFFFF" w:themeFill="background1"/>
              <w:ind w:left="-54"/>
              <w:jc w:val="both"/>
              <w:rPr>
                <w:rFonts w:ascii="Times New Roman" w:eastAsia="Times New Roman" w:hAnsi="Times New Roman" w:cs="Times New Roman"/>
                <w:bCs/>
                <w:color w:val="000000"/>
              </w:rPr>
            </w:pPr>
            <w:r w:rsidRPr="004949BD">
              <w:rPr>
                <w:rFonts w:ascii="Times New Roman" w:eastAsia="Times New Roman" w:hAnsi="Times New Roman" w:cs="Times New Roman"/>
                <w:bCs/>
                <w:color w:val="000000"/>
              </w:rPr>
              <w:t>- Can the Programme increase the percentage of women beneficiaries in the youth component under the DINU MAPE from 30% to at least 50%?</w:t>
            </w:r>
          </w:p>
          <w:p w14:paraId="45E3DEB0" w14:textId="77777777" w:rsidR="004A3BAC" w:rsidRPr="004949BD" w:rsidRDefault="004A3BAC" w:rsidP="00C32B3F">
            <w:pPr>
              <w:shd w:val="clear" w:color="auto" w:fill="FFFFFF" w:themeFill="background1"/>
              <w:ind w:left="-54"/>
              <w:jc w:val="both"/>
              <w:rPr>
                <w:rFonts w:ascii="Times New Roman" w:eastAsia="Times New Roman" w:hAnsi="Times New Roman" w:cs="Times New Roman"/>
                <w:bCs/>
                <w:color w:val="000000"/>
              </w:rPr>
            </w:pPr>
          </w:p>
          <w:p w14:paraId="5D2E0844" w14:textId="62641D5C" w:rsidR="004A3BAC" w:rsidRDefault="004A3BAC" w:rsidP="00C32B3F">
            <w:pPr>
              <w:shd w:val="clear" w:color="auto" w:fill="FFFFFF" w:themeFill="background1"/>
              <w:ind w:left="-54"/>
              <w:jc w:val="both"/>
              <w:rPr>
                <w:rFonts w:ascii="Times New Roman" w:eastAsia="Times New Roman" w:hAnsi="Times New Roman" w:cs="Times New Roman"/>
                <w:bCs/>
                <w:color w:val="000000"/>
              </w:rPr>
            </w:pPr>
            <w:r w:rsidRPr="004949BD">
              <w:rPr>
                <w:rFonts w:ascii="Times New Roman" w:eastAsia="Times New Roman" w:hAnsi="Times New Roman" w:cs="Times New Roman"/>
                <w:bCs/>
                <w:color w:val="000000"/>
              </w:rPr>
              <w:t>- Is there a possibility to increase the percentage of women yout</w:t>
            </w:r>
            <w:r w:rsidR="003C13BD">
              <w:rPr>
                <w:rFonts w:ascii="Times New Roman" w:eastAsia="Times New Roman" w:hAnsi="Times New Roman" w:cs="Times New Roman"/>
                <w:bCs/>
                <w:color w:val="000000"/>
              </w:rPr>
              <w:t>h</w:t>
            </w:r>
            <w:r w:rsidRPr="004949BD">
              <w:rPr>
                <w:rFonts w:ascii="Times New Roman" w:eastAsia="Times New Roman" w:hAnsi="Times New Roman" w:cs="Times New Roman"/>
                <w:bCs/>
                <w:color w:val="000000"/>
              </w:rPr>
              <w:t xml:space="preserve"> trained from 30% to 50% under MAPE Result 1?</w:t>
            </w:r>
          </w:p>
          <w:p w14:paraId="21D37408" w14:textId="77777777" w:rsidR="00100780" w:rsidRPr="004949BD" w:rsidRDefault="00100780" w:rsidP="00C32B3F">
            <w:pPr>
              <w:shd w:val="clear" w:color="auto" w:fill="FFFFFF" w:themeFill="background1"/>
              <w:ind w:left="-54"/>
              <w:jc w:val="both"/>
              <w:rPr>
                <w:rFonts w:ascii="Times New Roman" w:eastAsia="Times New Roman" w:hAnsi="Times New Roman" w:cs="Times New Roman"/>
                <w:bCs/>
                <w:color w:val="000000"/>
              </w:rPr>
            </w:pPr>
          </w:p>
          <w:p w14:paraId="51E2CFE4" w14:textId="45FF77A8" w:rsidR="004A3BAC" w:rsidRPr="004949BD" w:rsidRDefault="004A3BAC" w:rsidP="00C32B3F">
            <w:pPr>
              <w:shd w:val="clear" w:color="auto" w:fill="FFFFFF" w:themeFill="background1"/>
              <w:ind w:left="-54"/>
              <w:jc w:val="both"/>
              <w:rPr>
                <w:rFonts w:ascii="Times New Roman" w:eastAsia="Times New Roman" w:hAnsi="Times New Roman" w:cs="Times New Roman"/>
                <w:bCs/>
                <w:color w:val="000000"/>
              </w:rPr>
            </w:pPr>
            <w:r w:rsidRPr="004949BD">
              <w:rPr>
                <w:rFonts w:ascii="Times New Roman" w:eastAsia="Times New Roman" w:hAnsi="Times New Roman" w:cs="Times New Roman"/>
                <w:bCs/>
                <w:color w:val="000000"/>
              </w:rPr>
              <w:t xml:space="preserve">- </w:t>
            </w:r>
            <w:r w:rsidRPr="002D32F6">
              <w:rPr>
                <w:rFonts w:ascii="Times New Roman" w:eastAsia="Times New Roman" w:hAnsi="Times New Roman" w:cs="Times New Roman"/>
                <w:bCs/>
                <w:color w:val="000000"/>
              </w:rPr>
              <w:t>Besides the Baraza initiative in the MAPE do you have any other modality to monitor accountability and enhance transparency?</w:t>
            </w:r>
          </w:p>
        </w:tc>
        <w:tc>
          <w:tcPr>
            <w:tcW w:w="6776" w:type="dxa"/>
            <w:shd w:val="clear" w:color="auto" w:fill="FFFFFF" w:themeFill="background1"/>
          </w:tcPr>
          <w:p w14:paraId="692881E8" w14:textId="77777777" w:rsidR="004A3BAC" w:rsidRDefault="004A3BAC" w:rsidP="00C32B3F">
            <w:pPr>
              <w:shd w:val="clear" w:color="auto" w:fill="FFFFFF" w:themeFill="background1"/>
              <w:ind w:left="-54"/>
              <w:jc w:val="both"/>
              <w:rPr>
                <w:rFonts w:ascii="Times New Roman" w:eastAsia="Times New Roman" w:hAnsi="Times New Roman" w:cs="Times New Roman"/>
                <w:bCs/>
                <w:color w:val="000000"/>
              </w:rPr>
            </w:pPr>
            <w:r w:rsidRPr="00A67F07">
              <w:rPr>
                <w:rFonts w:ascii="Times New Roman" w:eastAsia="Times New Roman" w:hAnsi="Times New Roman" w:cs="Times New Roman"/>
                <w:bCs/>
                <w:color w:val="000000"/>
              </w:rPr>
              <w:t>Th</w:t>
            </w:r>
            <w:r>
              <w:rPr>
                <w:rFonts w:ascii="Times New Roman" w:eastAsia="Times New Roman" w:hAnsi="Times New Roman" w:cs="Times New Roman"/>
                <w:bCs/>
                <w:color w:val="000000"/>
              </w:rPr>
              <w:t>e</w:t>
            </w:r>
            <w:r w:rsidRPr="00CB32F7">
              <w:rPr>
                <w:rFonts w:ascii="Times New Roman" w:eastAsia="Times New Roman" w:hAnsi="Times New Roman" w:cs="Times New Roman"/>
                <w:bCs/>
                <w:color w:val="000000"/>
              </w:rPr>
              <w:t>s</w:t>
            </w:r>
            <w:r>
              <w:rPr>
                <w:rFonts w:ascii="Times New Roman" w:eastAsia="Times New Roman" w:hAnsi="Times New Roman" w:cs="Times New Roman"/>
                <w:bCs/>
                <w:color w:val="000000"/>
              </w:rPr>
              <w:t>e</w:t>
            </w:r>
            <w:r w:rsidRPr="00CB32F7">
              <w:rPr>
                <w:rFonts w:ascii="Times New Roman" w:eastAsia="Times New Roman" w:hAnsi="Times New Roman" w:cs="Times New Roman"/>
                <w:bCs/>
                <w:color w:val="000000"/>
              </w:rPr>
              <w:t xml:space="preserve"> question</w:t>
            </w:r>
            <w:r>
              <w:rPr>
                <w:rFonts w:ascii="Times New Roman" w:eastAsia="Times New Roman" w:hAnsi="Times New Roman" w:cs="Times New Roman"/>
                <w:bCs/>
                <w:color w:val="000000"/>
              </w:rPr>
              <w:t>s are</w:t>
            </w:r>
            <w:r w:rsidRPr="00CB32F7">
              <w:rPr>
                <w:rFonts w:ascii="Times New Roman" w:eastAsia="Times New Roman" w:hAnsi="Times New Roman" w:cs="Times New Roman"/>
                <w:bCs/>
                <w:color w:val="000000"/>
              </w:rPr>
              <w:t xml:space="preserve"> not related to this</w:t>
            </w:r>
            <w:r w:rsidRPr="00A67F07">
              <w:rPr>
                <w:rFonts w:ascii="Times New Roman" w:eastAsia="Times New Roman" w:hAnsi="Times New Roman" w:cs="Times New Roman"/>
                <w:bCs/>
                <w:color w:val="000000"/>
              </w:rPr>
              <w:t xml:space="preserve"> Call.</w:t>
            </w:r>
            <w:r>
              <w:rPr>
                <w:rFonts w:ascii="Times New Roman" w:eastAsia="Times New Roman" w:hAnsi="Times New Roman" w:cs="Times New Roman"/>
                <w:bCs/>
                <w:color w:val="000000"/>
              </w:rPr>
              <w:t xml:space="preserve"> </w:t>
            </w:r>
          </w:p>
          <w:p w14:paraId="30A364D3" w14:textId="77777777" w:rsidR="00993A5B" w:rsidRDefault="00993A5B" w:rsidP="00C32B3F">
            <w:pPr>
              <w:shd w:val="clear" w:color="auto" w:fill="FFFFFF" w:themeFill="background1"/>
              <w:ind w:left="-54"/>
              <w:jc w:val="both"/>
              <w:rPr>
                <w:rFonts w:ascii="Times New Roman" w:eastAsia="Times New Roman" w:hAnsi="Times New Roman" w:cs="Times New Roman"/>
                <w:bCs/>
                <w:color w:val="000000"/>
              </w:rPr>
            </w:pPr>
          </w:p>
          <w:p w14:paraId="0B6D9E9F" w14:textId="77777777" w:rsidR="00993A5B" w:rsidRDefault="00993A5B" w:rsidP="00C32B3F">
            <w:pPr>
              <w:shd w:val="clear" w:color="auto" w:fill="FFFFFF" w:themeFill="background1"/>
              <w:ind w:left="-54"/>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No additional information is provided in the Guidelines for Applicants.</w:t>
            </w:r>
            <w:r w:rsidRPr="00CB32F7">
              <w:rPr>
                <w:rFonts w:ascii="Times New Roman" w:eastAsia="Times New Roman" w:hAnsi="Times New Roman" w:cs="Times New Roman"/>
                <w:bCs/>
                <w:color w:val="000000"/>
              </w:rPr>
              <w:t xml:space="preserve"> </w:t>
            </w:r>
          </w:p>
          <w:p w14:paraId="79967878" w14:textId="77777777" w:rsidR="00127C72" w:rsidRDefault="00127C72" w:rsidP="00C32B3F">
            <w:pPr>
              <w:shd w:val="clear" w:color="auto" w:fill="FFFFFF" w:themeFill="background1"/>
              <w:ind w:left="-54"/>
              <w:jc w:val="both"/>
              <w:rPr>
                <w:rFonts w:ascii="Times New Roman" w:eastAsia="Times New Roman" w:hAnsi="Times New Roman" w:cs="Times New Roman"/>
                <w:bCs/>
                <w:color w:val="000000"/>
              </w:rPr>
            </w:pPr>
          </w:p>
          <w:p w14:paraId="054E4263" w14:textId="076B019F" w:rsidR="00993A5B" w:rsidRPr="00CA5850" w:rsidRDefault="00993A5B" w:rsidP="00C32B3F">
            <w:pPr>
              <w:shd w:val="clear" w:color="auto" w:fill="FFFFFF" w:themeFill="background1"/>
              <w:ind w:left="-54"/>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P</w:t>
            </w:r>
            <w:r w:rsidRPr="00CB32F7">
              <w:rPr>
                <w:rFonts w:ascii="Times New Roman" w:eastAsia="Times New Roman" w:hAnsi="Times New Roman" w:cs="Times New Roman"/>
                <w:bCs/>
                <w:color w:val="000000"/>
              </w:rPr>
              <w:t>roposed acti</w:t>
            </w:r>
            <w:r>
              <w:rPr>
                <w:rFonts w:ascii="Times New Roman" w:eastAsia="Times New Roman" w:hAnsi="Times New Roman" w:cs="Times New Roman"/>
                <w:bCs/>
                <w:color w:val="000000"/>
              </w:rPr>
              <w:t>ons</w:t>
            </w:r>
            <w:r w:rsidRPr="00CB32F7">
              <w:rPr>
                <w:rFonts w:ascii="Times New Roman" w:eastAsia="Times New Roman" w:hAnsi="Times New Roman" w:cs="Times New Roman"/>
                <w:bCs/>
                <w:color w:val="000000"/>
              </w:rPr>
              <w:t xml:space="preserve"> should be based on an assessment of the situation made by the applicants. </w:t>
            </w:r>
          </w:p>
        </w:tc>
      </w:tr>
      <w:tr w:rsidR="00B16C27" w:rsidRPr="00914BD3" w14:paraId="452EFEDD" w14:textId="77777777" w:rsidTr="00C32B3F">
        <w:tc>
          <w:tcPr>
            <w:tcW w:w="851" w:type="dxa"/>
            <w:shd w:val="clear" w:color="auto" w:fill="FFFFFF" w:themeFill="background1"/>
          </w:tcPr>
          <w:p w14:paraId="251991BB" w14:textId="77777777" w:rsidR="00B16C27" w:rsidRPr="004949BD" w:rsidRDefault="00B16C27" w:rsidP="00C32B3F">
            <w:pPr>
              <w:pStyle w:val="ListParagraph"/>
              <w:numPr>
                <w:ilvl w:val="0"/>
                <w:numId w:val="21"/>
              </w:numPr>
              <w:shd w:val="clear" w:color="auto" w:fill="FFFFFF" w:themeFill="background1"/>
              <w:jc w:val="center"/>
              <w:rPr>
                <w:rFonts w:ascii="Times New Roman" w:eastAsia="Times New Roman" w:hAnsi="Times New Roman" w:cs="Times New Roman"/>
                <w:bCs/>
                <w:color w:val="000000"/>
              </w:rPr>
            </w:pPr>
          </w:p>
        </w:tc>
        <w:tc>
          <w:tcPr>
            <w:tcW w:w="6783" w:type="dxa"/>
            <w:shd w:val="clear" w:color="auto" w:fill="FFFFFF" w:themeFill="background1"/>
          </w:tcPr>
          <w:p w14:paraId="60F886ED" w14:textId="7E8A1343" w:rsidR="00B16C27" w:rsidRPr="004949BD" w:rsidRDefault="00B16C27" w:rsidP="00C32B3F">
            <w:pPr>
              <w:shd w:val="clear" w:color="auto" w:fill="FFFFFF" w:themeFill="background1"/>
              <w:ind w:left="-54"/>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w:t>
            </w:r>
            <w:r w:rsidRPr="00B16C27">
              <w:rPr>
                <w:rFonts w:ascii="Times New Roman" w:eastAsia="Times New Roman" w:hAnsi="Times New Roman" w:cs="Times New Roman"/>
                <w:bCs/>
                <w:color w:val="000000"/>
              </w:rPr>
              <w:t>Who owns the intellectual property rights from the implementation of the action? Is it Government, the EU or the applicant?</w:t>
            </w:r>
          </w:p>
        </w:tc>
        <w:tc>
          <w:tcPr>
            <w:tcW w:w="6776" w:type="dxa"/>
            <w:shd w:val="clear" w:color="auto" w:fill="FFFFFF" w:themeFill="background1"/>
          </w:tcPr>
          <w:p w14:paraId="395D23B1" w14:textId="704526A4" w:rsidR="00B16C27" w:rsidRPr="00A67F07" w:rsidRDefault="00B16C27" w:rsidP="00C32B3F">
            <w:pPr>
              <w:shd w:val="clear" w:color="auto" w:fill="FFFFFF" w:themeFill="background1"/>
              <w:ind w:left="-54"/>
              <w:jc w:val="both"/>
              <w:rPr>
                <w:rFonts w:ascii="Times New Roman" w:eastAsia="Times New Roman" w:hAnsi="Times New Roman" w:cs="Times New Roman"/>
                <w:bCs/>
                <w:color w:val="000000"/>
              </w:rPr>
            </w:pPr>
            <w:r>
              <w:rPr>
                <w:rFonts w:ascii="Times New Roman" w:hAnsi="Times New Roman" w:cs="Times New Roman"/>
              </w:rPr>
              <w:t xml:space="preserve">Refer to the provisions of </w:t>
            </w:r>
            <w:r w:rsidRPr="00CB32F7">
              <w:rPr>
                <w:rFonts w:ascii="Times New Roman" w:hAnsi="Times New Roman" w:cs="Times New Roman"/>
              </w:rPr>
              <w:t xml:space="preserve">Article </w:t>
            </w:r>
            <w:r>
              <w:rPr>
                <w:rFonts w:ascii="Times New Roman" w:hAnsi="Times New Roman" w:cs="Times New Roman"/>
              </w:rPr>
              <w:t xml:space="preserve">7 </w:t>
            </w:r>
            <w:r w:rsidRPr="00CB32F7">
              <w:rPr>
                <w:rFonts w:ascii="Times New Roman" w:hAnsi="Times New Roman" w:cs="Times New Roman"/>
              </w:rPr>
              <w:t xml:space="preserve">of the General Conditions </w:t>
            </w:r>
            <w:r>
              <w:rPr>
                <w:rFonts w:ascii="Times New Roman" w:hAnsi="Times New Roman" w:cs="Times New Roman"/>
              </w:rPr>
              <w:t xml:space="preserve">to the Standard Grant Contract (see </w:t>
            </w:r>
            <w:r w:rsidRPr="00CB32F7">
              <w:rPr>
                <w:rFonts w:ascii="Times New Roman" w:hAnsi="Times New Roman" w:cs="Times New Roman"/>
              </w:rPr>
              <w:t xml:space="preserve">Annex G </w:t>
            </w:r>
            <w:r>
              <w:rPr>
                <w:rFonts w:ascii="Times New Roman" w:hAnsi="Times New Roman" w:cs="Times New Roman"/>
              </w:rPr>
              <w:t>of the Guidelines for Applicants</w:t>
            </w:r>
            <w:r w:rsidRPr="00CB32F7">
              <w:rPr>
                <w:rFonts w:ascii="Times New Roman" w:hAnsi="Times New Roman" w:cs="Times New Roman"/>
              </w:rPr>
              <w:t>).</w:t>
            </w:r>
            <w:r w:rsidRPr="001C0BAE">
              <w:rPr>
                <w:rFonts w:ascii="Times New Roman" w:eastAsia="Times New Roman" w:hAnsi="Times New Roman" w:cs="Times New Roman"/>
                <w:bCs/>
                <w:color w:val="000000"/>
                <w:highlight w:val="yellow"/>
              </w:rPr>
              <w:t xml:space="preserve"> </w:t>
            </w:r>
          </w:p>
        </w:tc>
      </w:tr>
    </w:tbl>
    <w:p w14:paraId="50E581DF" w14:textId="77777777" w:rsidR="00EA493B" w:rsidRPr="0019036F" w:rsidRDefault="00EA493B" w:rsidP="00C32B3F">
      <w:pPr>
        <w:shd w:val="clear" w:color="auto" w:fill="FFFFFF" w:themeFill="background1"/>
        <w:tabs>
          <w:tab w:val="left" w:pos="3891"/>
        </w:tabs>
        <w:rPr>
          <w:rFonts w:ascii="Times New Roman" w:hAnsi="Times New Roman" w:cs="Times New Roman"/>
        </w:rPr>
      </w:pPr>
    </w:p>
    <w:sectPr w:rsidR="00EA493B" w:rsidRPr="0019036F" w:rsidSect="00025017">
      <w:footerReference w:type="first" r:id="rId24"/>
      <w:pgSz w:w="16838" w:h="11906" w:orient="landscape"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65F744" w14:textId="77777777" w:rsidR="004E125D" w:rsidRDefault="004E125D" w:rsidP="00DC0E3F">
      <w:pPr>
        <w:spacing w:after="0" w:line="240" w:lineRule="auto"/>
      </w:pPr>
      <w:r>
        <w:separator/>
      </w:r>
    </w:p>
  </w:endnote>
  <w:endnote w:type="continuationSeparator" w:id="0">
    <w:p w14:paraId="350961C2" w14:textId="77777777" w:rsidR="004E125D" w:rsidRDefault="004E125D" w:rsidP="00DC0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35939948"/>
      <w:docPartObj>
        <w:docPartGallery w:val="Page Numbers (Bottom of Page)"/>
        <w:docPartUnique/>
      </w:docPartObj>
    </w:sdtPr>
    <w:sdtEndPr/>
    <w:sdtContent>
      <w:sdt>
        <w:sdtPr>
          <w:rPr>
            <w:rFonts w:ascii="Times New Roman" w:hAnsi="Times New Roman" w:cs="Times New Roman"/>
          </w:rPr>
          <w:id w:val="-1654440710"/>
          <w:docPartObj>
            <w:docPartGallery w:val="Page Numbers (Top of Page)"/>
            <w:docPartUnique/>
          </w:docPartObj>
        </w:sdtPr>
        <w:sdtEndPr/>
        <w:sdtContent>
          <w:p w14:paraId="70070EB6" w14:textId="79DD888F" w:rsidR="00B16C27" w:rsidRPr="00DC0E3F" w:rsidRDefault="00B16C27">
            <w:pPr>
              <w:pStyle w:val="Footer"/>
              <w:jc w:val="center"/>
              <w:rPr>
                <w:rFonts w:ascii="Times New Roman" w:hAnsi="Times New Roman" w:cs="Times New Roman"/>
              </w:rPr>
            </w:pPr>
            <w:r w:rsidRPr="002A2FE5">
              <w:rPr>
                <w:rFonts w:ascii="Times New Roman" w:hAnsi="Times New Roman" w:cs="Times New Roman"/>
              </w:rPr>
              <w:t xml:space="preserve">Page </w:t>
            </w:r>
            <w:r w:rsidRPr="002A2FE5">
              <w:rPr>
                <w:rFonts w:ascii="Times New Roman" w:hAnsi="Times New Roman" w:cs="Times New Roman"/>
                <w:b/>
                <w:bCs/>
              </w:rPr>
              <w:fldChar w:fldCharType="begin"/>
            </w:r>
            <w:r w:rsidRPr="002A2FE5">
              <w:rPr>
                <w:rFonts w:ascii="Times New Roman" w:hAnsi="Times New Roman" w:cs="Times New Roman"/>
                <w:b/>
                <w:bCs/>
              </w:rPr>
              <w:instrText xml:space="preserve"> PAGE </w:instrText>
            </w:r>
            <w:r w:rsidRPr="002A2FE5">
              <w:rPr>
                <w:rFonts w:ascii="Times New Roman" w:hAnsi="Times New Roman" w:cs="Times New Roman"/>
                <w:b/>
                <w:bCs/>
              </w:rPr>
              <w:fldChar w:fldCharType="separate"/>
            </w:r>
            <w:r w:rsidR="00943571">
              <w:rPr>
                <w:rFonts w:ascii="Times New Roman" w:hAnsi="Times New Roman" w:cs="Times New Roman"/>
                <w:b/>
                <w:bCs/>
                <w:noProof/>
              </w:rPr>
              <w:t>2</w:t>
            </w:r>
            <w:r w:rsidRPr="002A2FE5">
              <w:rPr>
                <w:rFonts w:ascii="Times New Roman" w:hAnsi="Times New Roman" w:cs="Times New Roman"/>
                <w:b/>
                <w:bCs/>
              </w:rPr>
              <w:fldChar w:fldCharType="end"/>
            </w:r>
            <w:r w:rsidRPr="002A2FE5">
              <w:rPr>
                <w:rFonts w:ascii="Times New Roman" w:hAnsi="Times New Roman" w:cs="Times New Roman"/>
              </w:rPr>
              <w:t xml:space="preserve"> / </w:t>
            </w:r>
            <w:r w:rsidRPr="002A2FE5">
              <w:rPr>
                <w:rFonts w:ascii="Times New Roman" w:hAnsi="Times New Roman" w:cs="Times New Roman"/>
                <w:b/>
                <w:bCs/>
              </w:rPr>
              <w:fldChar w:fldCharType="begin"/>
            </w:r>
            <w:r w:rsidRPr="002A2FE5">
              <w:rPr>
                <w:rFonts w:ascii="Times New Roman" w:hAnsi="Times New Roman" w:cs="Times New Roman"/>
                <w:b/>
                <w:bCs/>
              </w:rPr>
              <w:instrText xml:space="preserve"> =</w:instrText>
            </w:r>
            <w:r w:rsidRPr="002A2FE5">
              <w:rPr>
                <w:rFonts w:ascii="Times New Roman" w:hAnsi="Times New Roman" w:cs="Times New Roman"/>
                <w:b/>
                <w:bCs/>
              </w:rPr>
              <w:fldChar w:fldCharType="begin"/>
            </w:r>
            <w:r w:rsidRPr="002A2FE5">
              <w:rPr>
                <w:rFonts w:ascii="Times New Roman" w:hAnsi="Times New Roman" w:cs="Times New Roman"/>
                <w:b/>
                <w:bCs/>
              </w:rPr>
              <w:instrText xml:space="preserve"> NUMPAGES  </w:instrText>
            </w:r>
            <w:r w:rsidRPr="002A2FE5">
              <w:rPr>
                <w:rFonts w:ascii="Times New Roman" w:hAnsi="Times New Roman" w:cs="Times New Roman"/>
                <w:b/>
                <w:bCs/>
              </w:rPr>
              <w:fldChar w:fldCharType="separate"/>
            </w:r>
            <w:r w:rsidR="00943571">
              <w:rPr>
                <w:rFonts w:ascii="Times New Roman" w:hAnsi="Times New Roman" w:cs="Times New Roman"/>
                <w:b/>
                <w:bCs/>
                <w:noProof/>
              </w:rPr>
              <w:instrText>4</w:instrText>
            </w:r>
            <w:r w:rsidRPr="002A2FE5">
              <w:rPr>
                <w:rFonts w:ascii="Times New Roman" w:hAnsi="Times New Roman" w:cs="Times New Roman"/>
                <w:b/>
                <w:bCs/>
              </w:rPr>
              <w:fldChar w:fldCharType="end"/>
            </w:r>
            <w:r w:rsidRPr="002A2FE5">
              <w:rPr>
                <w:rFonts w:ascii="Times New Roman" w:hAnsi="Times New Roman" w:cs="Times New Roman"/>
                <w:b/>
                <w:bCs/>
              </w:rPr>
              <w:instrText xml:space="preserve">-1 </w:instrText>
            </w:r>
            <w:r w:rsidRPr="002A2FE5">
              <w:rPr>
                <w:rFonts w:ascii="Times New Roman" w:hAnsi="Times New Roman" w:cs="Times New Roman"/>
                <w:b/>
                <w:bCs/>
              </w:rPr>
              <w:fldChar w:fldCharType="separate"/>
            </w:r>
            <w:r w:rsidR="00943571">
              <w:rPr>
                <w:rFonts w:ascii="Times New Roman" w:hAnsi="Times New Roman" w:cs="Times New Roman"/>
                <w:b/>
                <w:bCs/>
                <w:noProof/>
              </w:rPr>
              <w:t>3</w:t>
            </w:r>
            <w:r w:rsidRPr="002A2FE5">
              <w:rPr>
                <w:rFonts w:ascii="Times New Roman" w:hAnsi="Times New Roman" w:cs="Times New Roman"/>
                <w:b/>
                <w:bCs/>
              </w:rPr>
              <w:fldChar w:fldCharType="end"/>
            </w:r>
          </w:p>
        </w:sdtContent>
      </w:sdt>
    </w:sdtContent>
  </w:sdt>
  <w:p w14:paraId="1CFF10D6" w14:textId="77777777" w:rsidR="00B16C27" w:rsidRDefault="00B16C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754716481"/>
      <w:docPartObj>
        <w:docPartGallery w:val="Page Numbers (Bottom of Page)"/>
        <w:docPartUnique/>
      </w:docPartObj>
    </w:sdtPr>
    <w:sdtEndPr/>
    <w:sdtContent>
      <w:sdt>
        <w:sdtPr>
          <w:rPr>
            <w:rFonts w:ascii="Times New Roman" w:hAnsi="Times New Roman" w:cs="Times New Roman"/>
          </w:rPr>
          <w:id w:val="1779372411"/>
          <w:docPartObj>
            <w:docPartGallery w:val="Page Numbers (Top of Page)"/>
            <w:docPartUnique/>
          </w:docPartObj>
        </w:sdtPr>
        <w:sdtEndPr/>
        <w:sdtContent>
          <w:p w14:paraId="6FBE39EB" w14:textId="6ECFAA30" w:rsidR="00B16C27" w:rsidRPr="00DC0E3F" w:rsidRDefault="004E125D" w:rsidP="0019036F">
            <w:pPr>
              <w:pStyle w:val="Footer"/>
              <w:jc w:val="center"/>
              <w:rPr>
                <w:rFonts w:ascii="Times New Roman" w:hAnsi="Times New Roman" w:cs="Times New Roman"/>
              </w:rPr>
            </w:pPr>
          </w:p>
        </w:sdtContent>
      </w:sdt>
    </w:sdtContent>
  </w:sdt>
  <w:p w14:paraId="27D3A39A" w14:textId="77777777" w:rsidR="00B16C27" w:rsidRPr="0019036F" w:rsidRDefault="00B16C27" w:rsidP="001903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922918738"/>
      <w:docPartObj>
        <w:docPartGallery w:val="Page Numbers (Bottom of Page)"/>
        <w:docPartUnique/>
      </w:docPartObj>
    </w:sdtPr>
    <w:sdtEndPr/>
    <w:sdtContent>
      <w:sdt>
        <w:sdtPr>
          <w:rPr>
            <w:rFonts w:ascii="Times New Roman" w:hAnsi="Times New Roman" w:cs="Times New Roman"/>
          </w:rPr>
          <w:id w:val="1709600912"/>
          <w:docPartObj>
            <w:docPartGallery w:val="Page Numbers (Top of Page)"/>
            <w:docPartUnique/>
          </w:docPartObj>
        </w:sdtPr>
        <w:sdtEndPr/>
        <w:sdtContent>
          <w:p w14:paraId="4C8D70F5" w14:textId="0014ED14" w:rsidR="00B16C27" w:rsidRPr="00DC0E3F" w:rsidRDefault="00B16C27" w:rsidP="0019036F">
            <w:pPr>
              <w:pStyle w:val="Footer"/>
              <w:jc w:val="center"/>
              <w:rPr>
                <w:rFonts w:ascii="Times New Roman" w:hAnsi="Times New Roman" w:cs="Times New Roman"/>
              </w:rPr>
            </w:pPr>
            <w:r w:rsidRPr="00DC0E3F">
              <w:rPr>
                <w:rFonts w:ascii="Times New Roman" w:hAnsi="Times New Roman" w:cs="Times New Roman"/>
              </w:rPr>
              <w:t xml:space="preserve">Page </w:t>
            </w:r>
            <w:r w:rsidRPr="00DC0E3F">
              <w:rPr>
                <w:rFonts w:ascii="Times New Roman" w:hAnsi="Times New Roman" w:cs="Times New Roman"/>
                <w:b/>
                <w:bCs/>
                <w:sz w:val="24"/>
                <w:szCs w:val="24"/>
              </w:rPr>
              <w:fldChar w:fldCharType="begin"/>
            </w:r>
            <w:r w:rsidRPr="00DC0E3F">
              <w:rPr>
                <w:rFonts w:ascii="Times New Roman" w:hAnsi="Times New Roman" w:cs="Times New Roman"/>
                <w:b/>
                <w:bCs/>
              </w:rPr>
              <w:instrText xml:space="preserve"> PAGE </w:instrText>
            </w:r>
            <w:r w:rsidRPr="00DC0E3F">
              <w:rPr>
                <w:rFonts w:ascii="Times New Roman" w:hAnsi="Times New Roman" w:cs="Times New Roman"/>
                <w:b/>
                <w:bCs/>
                <w:sz w:val="24"/>
                <w:szCs w:val="24"/>
              </w:rPr>
              <w:fldChar w:fldCharType="separate"/>
            </w:r>
            <w:r w:rsidR="00943571">
              <w:rPr>
                <w:rFonts w:ascii="Times New Roman" w:hAnsi="Times New Roman" w:cs="Times New Roman"/>
                <w:b/>
                <w:bCs/>
                <w:noProof/>
              </w:rPr>
              <w:t>1</w:t>
            </w:r>
            <w:r w:rsidRPr="00DC0E3F">
              <w:rPr>
                <w:rFonts w:ascii="Times New Roman" w:hAnsi="Times New Roman" w:cs="Times New Roman"/>
                <w:b/>
                <w:bCs/>
                <w:sz w:val="24"/>
                <w:szCs w:val="24"/>
              </w:rPr>
              <w:fldChar w:fldCharType="end"/>
            </w:r>
            <w:r w:rsidRPr="00DC0E3F">
              <w:rPr>
                <w:rFonts w:ascii="Times New Roman" w:hAnsi="Times New Roman" w:cs="Times New Roman"/>
              </w:rPr>
              <w:t xml:space="preserve"> / </w:t>
            </w:r>
            <w:r w:rsidRPr="00DC0E3F">
              <w:rPr>
                <w:rFonts w:ascii="Times New Roman" w:hAnsi="Times New Roman" w:cs="Times New Roman"/>
                <w:b/>
                <w:bCs/>
                <w:sz w:val="24"/>
                <w:szCs w:val="24"/>
              </w:rPr>
              <w:fldChar w:fldCharType="begin"/>
            </w:r>
            <w:r w:rsidRPr="00DC0E3F">
              <w:rPr>
                <w:rFonts w:ascii="Times New Roman" w:hAnsi="Times New Roman" w:cs="Times New Roman"/>
                <w:b/>
                <w:bCs/>
              </w:rPr>
              <w:instrText xml:space="preserve"> NUMPAGES  </w:instrText>
            </w:r>
            <w:r w:rsidRPr="00DC0E3F">
              <w:rPr>
                <w:rFonts w:ascii="Times New Roman" w:hAnsi="Times New Roman" w:cs="Times New Roman"/>
                <w:b/>
                <w:bCs/>
                <w:sz w:val="24"/>
                <w:szCs w:val="24"/>
              </w:rPr>
              <w:fldChar w:fldCharType="separate"/>
            </w:r>
            <w:r w:rsidR="00943571">
              <w:rPr>
                <w:rFonts w:ascii="Times New Roman" w:hAnsi="Times New Roman" w:cs="Times New Roman"/>
                <w:b/>
                <w:bCs/>
                <w:noProof/>
              </w:rPr>
              <w:t>3</w:t>
            </w:r>
            <w:r w:rsidRPr="00DC0E3F">
              <w:rPr>
                <w:rFonts w:ascii="Times New Roman" w:hAnsi="Times New Roman" w:cs="Times New Roman"/>
                <w:b/>
                <w:bCs/>
                <w:sz w:val="24"/>
                <w:szCs w:val="24"/>
              </w:rPr>
              <w:fldChar w:fldCharType="end"/>
            </w:r>
          </w:p>
        </w:sdtContent>
      </w:sdt>
    </w:sdtContent>
  </w:sdt>
  <w:p w14:paraId="6933444A" w14:textId="77777777" w:rsidR="00B16C27" w:rsidRPr="0019036F" w:rsidRDefault="00B16C27" w:rsidP="001903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990495" w14:textId="77777777" w:rsidR="004E125D" w:rsidRDefault="004E125D" w:rsidP="00DC0E3F">
      <w:pPr>
        <w:spacing w:after="0" w:line="240" w:lineRule="auto"/>
      </w:pPr>
      <w:r>
        <w:separator/>
      </w:r>
    </w:p>
  </w:footnote>
  <w:footnote w:type="continuationSeparator" w:id="0">
    <w:p w14:paraId="25D9579B" w14:textId="77777777" w:rsidR="004E125D" w:rsidRDefault="004E125D" w:rsidP="00DC0E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73BEB"/>
    <w:multiLevelType w:val="hybridMultilevel"/>
    <w:tmpl w:val="7110FD1C"/>
    <w:lvl w:ilvl="0" w:tplc="DD22DB1E">
      <w:start w:val="1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3F5BEE"/>
    <w:multiLevelType w:val="hybridMultilevel"/>
    <w:tmpl w:val="41CE06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E3419D"/>
    <w:multiLevelType w:val="hybridMultilevel"/>
    <w:tmpl w:val="C1D6AC6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1166186F"/>
    <w:multiLevelType w:val="hybridMultilevel"/>
    <w:tmpl w:val="60A2AECC"/>
    <w:lvl w:ilvl="0" w:tplc="7D744B10">
      <w:start w:val="19"/>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CC531F"/>
    <w:multiLevelType w:val="hybridMultilevel"/>
    <w:tmpl w:val="E6B09986"/>
    <w:lvl w:ilvl="0" w:tplc="04090003">
      <w:start w:val="1"/>
      <w:numFmt w:val="bullet"/>
      <w:lvlText w:val="o"/>
      <w:lvlJc w:val="left"/>
      <w:pPr>
        <w:ind w:left="666" w:hanging="360"/>
      </w:pPr>
      <w:rPr>
        <w:rFonts w:ascii="Courier New" w:hAnsi="Courier New" w:cs="Courier New" w:hint="default"/>
      </w:rPr>
    </w:lvl>
    <w:lvl w:ilvl="1" w:tplc="08090003" w:tentative="1">
      <w:start w:val="1"/>
      <w:numFmt w:val="bullet"/>
      <w:lvlText w:val="o"/>
      <w:lvlJc w:val="left"/>
      <w:pPr>
        <w:ind w:left="1386" w:hanging="360"/>
      </w:pPr>
      <w:rPr>
        <w:rFonts w:ascii="Courier New" w:hAnsi="Courier New" w:cs="Courier New" w:hint="default"/>
      </w:rPr>
    </w:lvl>
    <w:lvl w:ilvl="2" w:tplc="08090005" w:tentative="1">
      <w:start w:val="1"/>
      <w:numFmt w:val="bullet"/>
      <w:lvlText w:val=""/>
      <w:lvlJc w:val="left"/>
      <w:pPr>
        <w:ind w:left="2106" w:hanging="360"/>
      </w:pPr>
      <w:rPr>
        <w:rFonts w:ascii="Wingdings" w:hAnsi="Wingdings" w:hint="default"/>
      </w:rPr>
    </w:lvl>
    <w:lvl w:ilvl="3" w:tplc="08090001" w:tentative="1">
      <w:start w:val="1"/>
      <w:numFmt w:val="bullet"/>
      <w:lvlText w:val=""/>
      <w:lvlJc w:val="left"/>
      <w:pPr>
        <w:ind w:left="2826" w:hanging="360"/>
      </w:pPr>
      <w:rPr>
        <w:rFonts w:ascii="Symbol" w:hAnsi="Symbol" w:hint="default"/>
      </w:rPr>
    </w:lvl>
    <w:lvl w:ilvl="4" w:tplc="08090003" w:tentative="1">
      <w:start w:val="1"/>
      <w:numFmt w:val="bullet"/>
      <w:lvlText w:val="o"/>
      <w:lvlJc w:val="left"/>
      <w:pPr>
        <w:ind w:left="3546" w:hanging="360"/>
      </w:pPr>
      <w:rPr>
        <w:rFonts w:ascii="Courier New" w:hAnsi="Courier New" w:cs="Courier New" w:hint="default"/>
      </w:rPr>
    </w:lvl>
    <w:lvl w:ilvl="5" w:tplc="08090005" w:tentative="1">
      <w:start w:val="1"/>
      <w:numFmt w:val="bullet"/>
      <w:lvlText w:val=""/>
      <w:lvlJc w:val="left"/>
      <w:pPr>
        <w:ind w:left="4266" w:hanging="360"/>
      </w:pPr>
      <w:rPr>
        <w:rFonts w:ascii="Wingdings" w:hAnsi="Wingdings" w:hint="default"/>
      </w:rPr>
    </w:lvl>
    <w:lvl w:ilvl="6" w:tplc="08090001" w:tentative="1">
      <w:start w:val="1"/>
      <w:numFmt w:val="bullet"/>
      <w:lvlText w:val=""/>
      <w:lvlJc w:val="left"/>
      <w:pPr>
        <w:ind w:left="4986" w:hanging="360"/>
      </w:pPr>
      <w:rPr>
        <w:rFonts w:ascii="Symbol" w:hAnsi="Symbol" w:hint="default"/>
      </w:rPr>
    </w:lvl>
    <w:lvl w:ilvl="7" w:tplc="08090003" w:tentative="1">
      <w:start w:val="1"/>
      <w:numFmt w:val="bullet"/>
      <w:lvlText w:val="o"/>
      <w:lvlJc w:val="left"/>
      <w:pPr>
        <w:ind w:left="5706" w:hanging="360"/>
      </w:pPr>
      <w:rPr>
        <w:rFonts w:ascii="Courier New" w:hAnsi="Courier New" w:cs="Courier New" w:hint="default"/>
      </w:rPr>
    </w:lvl>
    <w:lvl w:ilvl="8" w:tplc="08090005" w:tentative="1">
      <w:start w:val="1"/>
      <w:numFmt w:val="bullet"/>
      <w:lvlText w:val=""/>
      <w:lvlJc w:val="left"/>
      <w:pPr>
        <w:ind w:left="6426" w:hanging="360"/>
      </w:pPr>
      <w:rPr>
        <w:rFonts w:ascii="Wingdings" w:hAnsi="Wingdings" w:hint="default"/>
      </w:rPr>
    </w:lvl>
  </w:abstractNum>
  <w:abstractNum w:abstractNumId="5" w15:restartNumberingAfterBreak="0">
    <w:nsid w:val="15D37B4A"/>
    <w:multiLevelType w:val="hybridMultilevel"/>
    <w:tmpl w:val="671C18F4"/>
    <w:lvl w:ilvl="0" w:tplc="DDCA12BE">
      <w:start w:val="12"/>
      <w:numFmt w:val="decimal"/>
      <w:lvlText w:val="%1."/>
      <w:lvlJc w:val="left"/>
      <w:pPr>
        <w:ind w:left="360" w:hanging="360"/>
      </w:pPr>
      <w:rPr>
        <w:rFonts w:hint="default"/>
      </w:rPr>
    </w:lvl>
    <w:lvl w:ilvl="1" w:tplc="3C420C84">
      <w:numFmt w:val="bullet"/>
      <w:lvlText w:val="-"/>
      <w:lvlJc w:val="left"/>
      <w:pPr>
        <w:ind w:left="1440" w:hanging="360"/>
      </w:pPr>
      <w:rPr>
        <w:rFonts w:ascii="Times New Roman" w:eastAsia="Times New Roman"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F33BD5"/>
    <w:multiLevelType w:val="hybridMultilevel"/>
    <w:tmpl w:val="0B68D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6604A1"/>
    <w:multiLevelType w:val="hybridMultilevel"/>
    <w:tmpl w:val="7F624544"/>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A55A36"/>
    <w:multiLevelType w:val="hybridMultilevel"/>
    <w:tmpl w:val="43685084"/>
    <w:lvl w:ilvl="0" w:tplc="49048784">
      <w:start w:val="2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984DDB"/>
    <w:multiLevelType w:val="hybridMultilevel"/>
    <w:tmpl w:val="92F42BFE"/>
    <w:lvl w:ilvl="0" w:tplc="7A581234">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D07BE6"/>
    <w:multiLevelType w:val="hybridMultilevel"/>
    <w:tmpl w:val="E42C09B2"/>
    <w:lvl w:ilvl="0" w:tplc="49048784">
      <w:start w:val="2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224302"/>
    <w:multiLevelType w:val="hybridMultilevel"/>
    <w:tmpl w:val="AE58F348"/>
    <w:lvl w:ilvl="0" w:tplc="CFD001DA">
      <w:start w:val="3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2E077D"/>
    <w:multiLevelType w:val="hybridMultilevel"/>
    <w:tmpl w:val="D49ACAA6"/>
    <w:lvl w:ilvl="0" w:tplc="6DB2B152">
      <w:start w:val="1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0B39C1"/>
    <w:multiLevelType w:val="hybridMultilevel"/>
    <w:tmpl w:val="D9726614"/>
    <w:lvl w:ilvl="0" w:tplc="49048784">
      <w:start w:val="2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564746"/>
    <w:multiLevelType w:val="hybridMultilevel"/>
    <w:tmpl w:val="8DB266B4"/>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5" w15:restartNumberingAfterBreak="0">
    <w:nsid w:val="2B64583E"/>
    <w:multiLevelType w:val="hybridMultilevel"/>
    <w:tmpl w:val="363633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DCE729F"/>
    <w:multiLevelType w:val="hybridMultilevel"/>
    <w:tmpl w:val="32F66152"/>
    <w:lvl w:ilvl="0" w:tplc="AF562A0C">
      <w:start w:val="2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1C5A64"/>
    <w:multiLevelType w:val="hybridMultilevel"/>
    <w:tmpl w:val="383A8D80"/>
    <w:lvl w:ilvl="0" w:tplc="7D744B10">
      <w:start w:val="19"/>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6E453A"/>
    <w:multiLevelType w:val="hybridMultilevel"/>
    <w:tmpl w:val="63C02F9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B93383D"/>
    <w:multiLevelType w:val="hybridMultilevel"/>
    <w:tmpl w:val="6FB84144"/>
    <w:lvl w:ilvl="0" w:tplc="21DEBC26">
      <w:start w:val="3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9E6309"/>
    <w:multiLevelType w:val="hybridMultilevel"/>
    <w:tmpl w:val="A52AABFA"/>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1" w15:restartNumberingAfterBreak="0">
    <w:nsid w:val="46C8292D"/>
    <w:multiLevelType w:val="hybridMultilevel"/>
    <w:tmpl w:val="7110FD1C"/>
    <w:lvl w:ilvl="0" w:tplc="DD22DB1E">
      <w:start w:val="1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601519"/>
    <w:multiLevelType w:val="hybridMultilevel"/>
    <w:tmpl w:val="16701AC6"/>
    <w:lvl w:ilvl="0" w:tplc="99EC819A">
      <w:start w:val="2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79523A"/>
    <w:multiLevelType w:val="hybridMultilevel"/>
    <w:tmpl w:val="E808198A"/>
    <w:lvl w:ilvl="0" w:tplc="49D87A64">
      <w:start w:val="1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6F52F18"/>
    <w:multiLevelType w:val="hybridMultilevel"/>
    <w:tmpl w:val="E14CDAA4"/>
    <w:lvl w:ilvl="0" w:tplc="30D014A0">
      <w:start w:val="1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B3E2F9C"/>
    <w:multiLevelType w:val="hybridMultilevel"/>
    <w:tmpl w:val="031E05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C55D07"/>
    <w:multiLevelType w:val="hybridMultilevel"/>
    <w:tmpl w:val="36F49CC4"/>
    <w:lvl w:ilvl="0" w:tplc="49048784">
      <w:start w:val="2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2B2D54"/>
    <w:multiLevelType w:val="hybridMultilevel"/>
    <w:tmpl w:val="F4F627D4"/>
    <w:lvl w:ilvl="0" w:tplc="9E1E54E2">
      <w:start w:val="1"/>
      <w:numFmt w:val="decimal"/>
      <w:lvlText w:val="%1."/>
      <w:lvlJc w:val="left"/>
      <w:pPr>
        <w:ind w:left="720" w:hanging="360"/>
      </w:pPr>
      <w:rPr>
        <w:rFonts w:hint="default"/>
      </w:rPr>
    </w:lvl>
    <w:lvl w:ilvl="1" w:tplc="430C8EFA">
      <w:numFmt w:val="bullet"/>
      <w:lvlText w:val="·"/>
      <w:lvlJc w:val="left"/>
      <w:pPr>
        <w:ind w:left="1575" w:hanging="495"/>
      </w:pPr>
      <w:rPr>
        <w:rFonts w:ascii="Times New Roman" w:eastAsia="Times New Roman"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0C12427"/>
    <w:multiLevelType w:val="hybridMultilevel"/>
    <w:tmpl w:val="628ADE96"/>
    <w:lvl w:ilvl="0" w:tplc="02EEDE38">
      <w:start w:val="2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D85FB8"/>
    <w:multiLevelType w:val="hybridMultilevel"/>
    <w:tmpl w:val="CC8CA324"/>
    <w:lvl w:ilvl="0" w:tplc="8B2EE968">
      <w:start w:val="2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FF2F45"/>
    <w:multiLevelType w:val="hybridMultilevel"/>
    <w:tmpl w:val="5AA845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FA322CD"/>
    <w:multiLevelType w:val="hybridMultilevel"/>
    <w:tmpl w:val="E808198A"/>
    <w:lvl w:ilvl="0" w:tplc="49D87A64">
      <w:start w:val="1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14F3BFF"/>
    <w:multiLevelType w:val="hybridMultilevel"/>
    <w:tmpl w:val="E8A47432"/>
    <w:lvl w:ilvl="0" w:tplc="99EC819A">
      <w:start w:val="26"/>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26D142A"/>
    <w:multiLevelType w:val="hybridMultilevel"/>
    <w:tmpl w:val="9070A22E"/>
    <w:lvl w:ilvl="0" w:tplc="04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5"/>
  </w:num>
  <w:num w:numId="3">
    <w:abstractNumId w:val="1"/>
  </w:num>
  <w:num w:numId="4">
    <w:abstractNumId w:val="27"/>
  </w:num>
  <w:num w:numId="5">
    <w:abstractNumId w:val="6"/>
  </w:num>
  <w:num w:numId="6">
    <w:abstractNumId w:val="30"/>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9"/>
  </w:num>
  <w:num w:numId="14">
    <w:abstractNumId w:val="4"/>
  </w:num>
  <w:num w:numId="15">
    <w:abstractNumId w:val="23"/>
  </w:num>
  <w:num w:numId="16">
    <w:abstractNumId w:val="31"/>
  </w:num>
  <w:num w:numId="17">
    <w:abstractNumId w:val="21"/>
  </w:num>
  <w:num w:numId="18">
    <w:abstractNumId w:val="24"/>
  </w:num>
  <w:num w:numId="19">
    <w:abstractNumId w:val="12"/>
  </w:num>
  <w:num w:numId="20">
    <w:abstractNumId w:val="3"/>
  </w:num>
  <w:num w:numId="21">
    <w:abstractNumId w:val="5"/>
  </w:num>
  <w:num w:numId="22">
    <w:abstractNumId w:val="29"/>
  </w:num>
  <w:num w:numId="23">
    <w:abstractNumId w:val="17"/>
  </w:num>
  <w:num w:numId="24">
    <w:abstractNumId w:val="10"/>
  </w:num>
  <w:num w:numId="25">
    <w:abstractNumId w:val="26"/>
  </w:num>
  <w:num w:numId="26">
    <w:abstractNumId w:val="13"/>
  </w:num>
  <w:num w:numId="27">
    <w:abstractNumId w:val="8"/>
  </w:num>
  <w:num w:numId="28">
    <w:abstractNumId w:val="22"/>
  </w:num>
  <w:num w:numId="29">
    <w:abstractNumId w:val="32"/>
  </w:num>
  <w:num w:numId="30">
    <w:abstractNumId w:val="16"/>
  </w:num>
  <w:num w:numId="31">
    <w:abstractNumId w:val="28"/>
  </w:num>
  <w:num w:numId="32">
    <w:abstractNumId w:val="19"/>
  </w:num>
  <w:num w:numId="33">
    <w:abstractNumId w:val="11"/>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0D"/>
    <w:rsid w:val="000174F0"/>
    <w:rsid w:val="00025017"/>
    <w:rsid w:val="00030292"/>
    <w:rsid w:val="00031400"/>
    <w:rsid w:val="000371FA"/>
    <w:rsid w:val="00056444"/>
    <w:rsid w:val="00063E7F"/>
    <w:rsid w:val="0007117C"/>
    <w:rsid w:val="0007721B"/>
    <w:rsid w:val="00085426"/>
    <w:rsid w:val="000A7F02"/>
    <w:rsid w:val="000B65C3"/>
    <w:rsid w:val="000C2A11"/>
    <w:rsid w:val="000C369C"/>
    <w:rsid w:val="000C5ECC"/>
    <w:rsid w:val="000D1820"/>
    <w:rsid w:val="000E6F57"/>
    <w:rsid w:val="000F3D39"/>
    <w:rsid w:val="001002D0"/>
    <w:rsid w:val="00100780"/>
    <w:rsid w:val="00110EE0"/>
    <w:rsid w:val="001219EC"/>
    <w:rsid w:val="001249E1"/>
    <w:rsid w:val="00127C72"/>
    <w:rsid w:val="00132391"/>
    <w:rsid w:val="00141776"/>
    <w:rsid w:val="00150598"/>
    <w:rsid w:val="00164A56"/>
    <w:rsid w:val="0019036F"/>
    <w:rsid w:val="00196093"/>
    <w:rsid w:val="001A424F"/>
    <w:rsid w:val="001B3304"/>
    <w:rsid w:val="001B4ACB"/>
    <w:rsid w:val="001B7A8E"/>
    <w:rsid w:val="00200756"/>
    <w:rsid w:val="002213E2"/>
    <w:rsid w:val="00235A8B"/>
    <w:rsid w:val="002400EE"/>
    <w:rsid w:val="002601C2"/>
    <w:rsid w:val="002665B8"/>
    <w:rsid w:val="00276211"/>
    <w:rsid w:val="00280C51"/>
    <w:rsid w:val="00294A0D"/>
    <w:rsid w:val="0029705F"/>
    <w:rsid w:val="002A2FE5"/>
    <w:rsid w:val="002A6A47"/>
    <w:rsid w:val="002C003C"/>
    <w:rsid w:val="002D2CEC"/>
    <w:rsid w:val="002D32F6"/>
    <w:rsid w:val="002E7162"/>
    <w:rsid w:val="002F0B42"/>
    <w:rsid w:val="00310F18"/>
    <w:rsid w:val="003167D2"/>
    <w:rsid w:val="00341B6C"/>
    <w:rsid w:val="00366DD0"/>
    <w:rsid w:val="00371E10"/>
    <w:rsid w:val="003A2C65"/>
    <w:rsid w:val="003B517C"/>
    <w:rsid w:val="003C13BD"/>
    <w:rsid w:val="003C5EB8"/>
    <w:rsid w:val="003E72E9"/>
    <w:rsid w:val="004302AA"/>
    <w:rsid w:val="00434251"/>
    <w:rsid w:val="00441C5B"/>
    <w:rsid w:val="00443C04"/>
    <w:rsid w:val="00446F91"/>
    <w:rsid w:val="00447356"/>
    <w:rsid w:val="00447572"/>
    <w:rsid w:val="004521FF"/>
    <w:rsid w:val="004564BA"/>
    <w:rsid w:val="00462FC0"/>
    <w:rsid w:val="004650B7"/>
    <w:rsid w:val="00475377"/>
    <w:rsid w:val="00493398"/>
    <w:rsid w:val="004949BD"/>
    <w:rsid w:val="004A3BAC"/>
    <w:rsid w:val="004A6EC3"/>
    <w:rsid w:val="004B0FFB"/>
    <w:rsid w:val="004B569C"/>
    <w:rsid w:val="004E125D"/>
    <w:rsid w:val="004E5847"/>
    <w:rsid w:val="004F1E12"/>
    <w:rsid w:val="005065A0"/>
    <w:rsid w:val="005069B4"/>
    <w:rsid w:val="00512F52"/>
    <w:rsid w:val="00521493"/>
    <w:rsid w:val="00526B16"/>
    <w:rsid w:val="00531CF9"/>
    <w:rsid w:val="005357B6"/>
    <w:rsid w:val="005362E2"/>
    <w:rsid w:val="00555D76"/>
    <w:rsid w:val="00563C73"/>
    <w:rsid w:val="005740C2"/>
    <w:rsid w:val="005759F6"/>
    <w:rsid w:val="005814E7"/>
    <w:rsid w:val="0058569C"/>
    <w:rsid w:val="005A3DDB"/>
    <w:rsid w:val="005A5BF3"/>
    <w:rsid w:val="005A5DE3"/>
    <w:rsid w:val="005B4C42"/>
    <w:rsid w:val="005B584B"/>
    <w:rsid w:val="005C1689"/>
    <w:rsid w:val="005C49B9"/>
    <w:rsid w:val="005C55A8"/>
    <w:rsid w:val="005D19A8"/>
    <w:rsid w:val="005D4960"/>
    <w:rsid w:val="005D72E4"/>
    <w:rsid w:val="005E5BDA"/>
    <w:rsid w:val="005F28FA"/>
    <w:rsid w:val="005F2B5D"/>
    <w:rsid w:val="005F7A0D"/>
    <w:rsid w:val="00604486"/>
    <w:rsid w:val="00610043"/>
    <w:rsid w:val="00612ED4"/>
    <w:rsid w:val="00634020"/>
    <w:rsid w:val="006475E4"/>
    <w:rsid w:val="006541F7"/>
    <w:rsid w:val="0065693F"/>
    <w:rsid w:val="00670BDA"/>
    <w:rsid w:val="00683656"/>
    <w:rsid w:val="00691DCD"/>
    <w:rsid w:val="0069258B"/>
    <w:rsid w:val="006A1182"/>
    <w:rsid w:val="006A4A13"/>
    <w:rsid w:val="006C7684"/>
    <w:rsid w:val="006D3C4C"/>
    <w:rsid w:val="006E0480"/>
    <w:rsid w:val="006E0E7D"/>
    <w:rsid w:val="006E42AC"/>
    <w:rsid w:val="006F3819"/>
    <w:rsid w:val="006F4FF3"/>
    <w:rsid w:val="0070163D"/>
    <w:rsid w:val="00702773"/>
    <w:rsid w:val="007118E0"/>
    <w:rsid w:val="007132C2"/>
    <w:rsid w:val="0072347A"/>
    <w:rsid w:val="00725651"/>
    <w:rsid w:val="00731526"/>
    <w:rsid w:val="00741872"/>
    <w:rsid w:val="00756CA6"/>
    <w:rsid w:val="007579F0"/>
    <w:rsid w:val="00766A19"/>
    <w:rsid w:val="007728BF"/>
    <w:rsid w:val="00775134"/>
    <w:rsid w:val="00775A9E"/>
    <w:rsid w:val="00782ADD"/>
    <w:rsid w:val="00783E9C"/>
    <w:rsid w:val="007845F8"/>
    <w:rsid w:val="00785DDB"/>
    <w:rsid w:val="007861B9"/>
    <w:rsid w:val="007A19CB"/>
    <w:rsid w:val="007B41E1"/>
    <w:rsid w:val="007C0CA3"/>
    <w:rsid w:val="007C14FA"/>
    <w:rsid w:val="007D07F6"/>
    <w:rsid w:val="007D6A53"/>
    <w:rsid w:val="007E0960"/>
    <w:rsid w:val="007F6DF3"/>
    <w:rsid w:val="007F70B8"/>
    <w:rsid w:val="008019E3"/>
    <w:rsid w:val="00822D36"/>
    <w:rsid w:val="008319F7"/>
    <w:rsid w:val="00843AEA"/>
    <w:rsid w:val="00846E9C"/>
    <w:rsid w:val="0085506D"/>
    <w:rsid w:val="00860E8D"/>
    <w:rsid w:val="00863436"/>
    <w:rsid w:val="00894A98"/>
    <w:rsid w:val="008C73DD"/>
    <w:rsid w:val="008D0BA1"/>
    <w:rsid w:val="008D7A57"/>
    <w:rsid w:val="008E32D0"/>
    <w:rsid w:val="008E3692"/>
    <w:rsid w:val="008F245E"/>
    <w:rsid w:val="008F7FBF"/>
    <w:rsid w:val="0090649F"/>
    <w:rsid w:val="00914BD3"/>
    <w:rsid w:val="00915BC1"/>
    <w:rsid w:val="009268C5"/>
    <w:rsid w:val="00943571"/>
    <w:rsid w:val="0094424F"/>
    <w:rsid w:val="009533E8"/>
    <w:rsid w:val="009862EE"/>
    <w:rsid w:val="00993A5B"/>
    <w:rsid w:val="009A1ACA"/>
    <w:rsid w:val="009A3096"/>
    <w:rsid w:val="009B654E"/>
    <w:rsid w:val="009D09BD"/>
    <w:rsid w:val="009D3CA8"/>
    <w:rsid w:val="009D65EE"/>
    <w:rsid w:val="009D6D48"/>
    <w:rsid w:val="009E6E28"/>
    <w:rsid w:val="00A02B58"/>
    <w:rsid w:val="00A039D8"/>
    <w:rsid w:val="00A12E0D"/>
    <w:rsid w:val="00A14ACA"/>
    <w:rsid w:val="00A2617B"/>
    <w:rsid w:val="00A2726A"/>
    <w:rsid w:val="00A350D3"/>
    <w:rsid w:val="00A36DB6"/>
    <w:rsid w:val="00A4421A"/>
    <w:rsid w:val="00A67F07"/>
    <w:rsid w:val="00A76455"/>
    <w:rsid w:val="00AA3C72"/>
    <w:rsid w:val="00AB63E4"/>
    <w:rsid w:val="00AD36C5"/>
    <w:rsid w:val="00AD6E17"/>
    <w:rsid w:val="00AE0E2D"/>
    <w:rsid w:val="00AE27AE"/>
    <w:rsid w:val="00AE7F3C"/>
    <w:rsid w:val="00B01EE8"/>
    <w:rsid w:val="00B15AE1"/>
    <w:rsid w:val="00B16C27"/>
    <w:rsid w:val="00B331F8"/>
    <w:rsid w:val="00B5116D"/>
    <w:rsid w:val="00B66725"/>
    <w:rsid w:val="00B70F1F"/>
    <w:rsid w:val="00B809C7"/>
    <w:rsid w:val="00B861BA"/>
    <w:rsid w:val="00B9297F"/>
    <w:rsid w:val="00B97AB7"/>
    <w:rsid w:val="00BA3196"/>
    <w:rsid w:val="00BA36BD"/>
    <w:rsid w:val="00BA40FB"/>
    <w:rsid w:val="00BA4B44"/>
    <w:rsid w:val="00BA4DE3"/>
    <w:rsid w:val="00BB0FC0"/>
    <w:rsid w:val="00BC6C18"/>
    <w:rsid w:val="00BE233C"/>
    <w:rsid w:val="00BF040B"/>
    <w:rsid w:val="00BF4A25"/>
    <w:rsid w:val="00C0500D"/>
    <w:rsid w:val="00C31E5C"/>
    <w:rsid w:val="00C32B3F"/>
    <w:rsid w:val="00C37C4A"/>
    <w:rsid w:val="00C43D89"/>
    <w:rsid w:val="00C55BD8"/>
    <w:rsid w:val="00C649FB"/>
    <w:rsid w:val="00C857E6"/>
    <w:rsid w:val="00C93939"/>
    <w:rsid w:val="00CA6690"/>
    <w:rsid w:val="00CB5B6E"/>
    <w:rsid w:val="00CC0946"/>
    <w:rsid w:val="00CD2FFD"/>
    <w:rsid w:val="00CD4749"/>
    <w:rsid w:val="00CE0ED7"/>
    <w:rsid w:val="00D11ED7"/>
    <w:rsid w:val="00D278CB"/>
    <w:rsid w:val="00D31D54"/>
    <w:rsid w:val="00D359C4"/>
    <w:rsid w:val="00D37733"/>
    <w:rsid w:val="00D44454"/>
    <w:rsid w:val="00D451D3"/>
    <w:rsid w:val="00D47EB8"/>
    <w:rsid w:val="00D51231"/>
    <w:rsid w:val="00D557D8"/>
    <w:rsid w:val="00D80C61"/>
    <w:rsid w:val="00D86489"/>
    <w:rsid w:val="00D91415"/>
    <w:rsid w:val="00DA3CB4"/>
    <w:rsid w:val="00DB3DFC"/>
    <w:rsid w:val="00DC0E3F"/>
    <w:rsid w:val="00DC5110"/>
    <w:rsid w:val="00DC6A35"/>
    <w:rsid w:val="00DD3AA5"/>
    <w:rsid w:val="00DD6B40"/>
    <w:rsid w:val="00DD706E"/>
    <w:rsid w:val="00DE0957"/>
    <w:rsid w:val="00DF55E3"/>
    <w:rsid w:val="00E2505C"/>
    <w:rsid w:val="00E316FF"/>
    <w:rsid w:val="00E41C1A"/>
    <w:rsid w:val="00E50DFE"/>
    <w:rsid w:val="00E53317"/>
    <w:rsid w:val="00E70786"/>
    <w:rsid w:val="00E86299"/>
    <w:rsid w:val="00E927CC"/>
    <w:rsid w:val="00E937FF"/>
    <w:rsid w:val="00EA2FE1"/>
    <w:rsid w:val="00EA493B"/>
    <w:rsid w:val="00EA59DA"/>
    <w:rsid w:val="00ED5F9C"/>
    <w:rsid w:val="00EE0592"/>
    <w:rsid w:val="00EE3535"/>
    <w:rsid w:val="00EF0B05"/>
    <w:rsid w:val="00F02728"/>
    <w:rsid w:val="00F24EBF"/>
    <w:rsid w:val="00F36D45"/>
    <w:rsid w:val="00F41CB8"/>
    <w:rsid w:val="00F47159"/>
    <w:rsid w:val="00F50534"/>
    <w:rsid w:val="00F61A6D"/>
    <w:rsid w:val="00F7148F"/>
    <w:rsid w:val="00F72944"/>
    <w:rsid w:val="00F72AF9"/>
    <w:rsid w:val="00FA0DC4"/>
    <w:rsid w:val="00FD36E3"/>
    <w:rsid w:val="00FE43F0"/>
    <w:rsid w:val="00FF2655"/>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3B548"/>
  <w15:docId w15:val="{ABC3CB38-B03E-4CC9-8A6A-6DC63B929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5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500D"/>
    <w:pPr>
      <w:ind w:left="720"/>
      <w:contextualSpacing/>
    </w:pPr>
  </w:style>
  <w:style w:type="character" w:styleId="Hyperlink">
    <w:name w:val="Hyperlink"/>
    <w:basedOn w:val="DefaultParagraphFont"/>
    <w:uiPriority w:val="99"/>
    <w:unhideWhenUsed/>
    <w:rsid w:val="000F3D39"/>
    <w:rPr>
      <w:color w:val="0563C1" w:themeColor="hyperlink"/>
      <w:u w:val="single"/>
    </w:rPr>
  </w:style>
  <w:style w:type="character" w:customStyle="1" w:styleId="UnresolvedMention">
    <w:name w:val="Unresolved Mention"/>
    <w:basedOn w:val="DefaultParagraphFont"/>
    <w:uiPriority w:val="99"/>
    <w:semiHidden/>
    <w:unhideWhenUsed/>
    <w:rsid w:val="000F3D39"/>
    <w:rPr>
      <w:color w:val="605E5C"/>
      <w:shd w:val="clear" w:color="auto" w:fill="E1DFDD"/>
    </w:rPr>
  </w:style>
  <w:style w:type="table" w:customStyle="1" w:styleId="GridTable4-Accent61">
    <w:name w:val="Grid Table 4 - Accent 61"/>
    <w:basedOn w:val="TableNormal"/>
    <w:uiPriority w:val="49"/>
    <w:rsid w:val="00DD3AA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SubTitle1">
    <w:name w:val="SubTitle 1"/>
    <w:basedOn w:val="Normal"/>
    <w:next w:val="Normal"/>
    <w:rsid w:val="00DC0E3F"/>
    <w:pPr>
      <w:spacing w:after="240" w:line="240" w:lineRule="auto"/>
      <w:jc w:val="center"/>
    </w:pPr>
    <w:rPr>
      <w:rFonts w:ascii="Times New Roman" w:eastAsia="Times New Roman" w:hAnsi="Times New Roman" w:cs="Times New Roman"/>
      <w:b/>
      <w:snapToGrid w:val="0"/>
      <w:sz w:val="40"/>
      <w:szCs w:val="20"/>
    </w:rPr>
  </w:style>
  <w:style w:type="paragraph" w:customStyle="1" w:styleId="SubTitle2">
    <w:name w:val="SubTitle 2"/>
    <w:basedOn w:val="Normal"/>
    <w:rsid w:val="00DC0E3F"/>
    <w:pPr>
      <w:spacing w:after="240" w:line="240" w:lineRule="auto"/>
      <w:jc w:val="center"/>
    </w:pPr>
    <w:rPr>
      <w:rFonts w:ascii="Times New Roman" w:eastAsia="Times New Roman" w:hAnsi="Times New Roman" w:cs="Times New Roman"/>
      <w:b/>
      <w:snapToGrid w:val="0"/>
      <w:sz w:val="32"/>
      <w:szCs w:val="20"/>
    </w:rPr>
  </w:style>
  <w:style w:type="paragraph" w:styleId="Header">
    <w:name w:val="header"/>
    <w:basedOn w:val="Normal"/>
    <w:link w:val="HeaderChar"/>
    <w:uiPriority w:val="99"/>
    <w:unhideWhenUsed/>
    <w:rsid w:val="00DC0E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0E3F"/>
  </w:style>
  <w:style w:type="paragraph" w:styleId="Footer">
    <w:name w:val="footer"/>
    <w:basedOn w:val="Normal"/>
    <w:link w:val="FooterChar"/>
    <w:uiPriority w:val="99"/>
    <w:unhideWhenUsed/>
    <w:rsid w:val="00DC0E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0E3F"/>
  </w:style>
  <w:style w:type="table" w:customStyle="1" w:styleId="GridTable41">
    <w:name w:val="Grid Table 41"/>
    <w:basedOn w:val="TableNormal"/>
    <w:uiPriority w:val="49"/>
    <w:rsid w:val="007D07F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gmail-default">
    <w:name w:val="gmail-default"/>
    <w:basedOn w:val="Normal"/>
    <w:rsid w:val="00E50DFE"/>
    <w:pPr>
      <w:spacing w:before="100" w:beforeAutospacing="1" w:after="100" w:afterAutospacing="1" w:line="240" w:lineRule="auto"/>
    </w:pPr>
    <w:rPr>
      <w:rFonts w:ascii="Calibri" w:hAnsi="Calibri" w:cs="Calibri"/>
      <w:lang w:eastAsia="en-GB"/>
    </w:rPr>
  </w:style>
  <w:style w:type="paragraph" w:styleId="FootnoteText">
    <w:name w:val="footnote text"/>
    <w:aliases w:val="Footnote Text Char1 Char,Footnote Text Char Char Char,Footnote Text Char1 Char Char Char,Footnote Text Char Char Char Char Char,Footnote Text Char1 Char1 Char,Footnote Text Char Char Char1 Char,single space,fn,ft,FOOTNOTES,footnote text"/>
    <w:basedOn w:val="Normal"/>
    <w:link w:val="FootnoteTextChar"/>
    <w:autoRedefine/>
    <w:qFormat/>
    <w:rsid w:val="005069B4"/>
    <w:pPr>
      <w:spacing w:after="0" w:line="240" w:lineRule="auto"/>
      <w:jc w:val="both"/>
    </w:pPr>
    <w:rPr>
      <w:rFonts w:ascii="Times New Roman" w:eastAsia="Calibri" w:hAnsi="Times New Roman" w:cs="Times New Roman"/>
      <w:snapToGrid w:val="0"/>
      <w:sz w:val="24"/>
      <w:szCs w:val="24"/>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 Char,Footnote Text Char Char Char1 Char Char,fn Char"/>
    <w:basedOn w:val="DefaultParagraphFont"/>
    <w:link w:val="FootnoteText"/>
    <w:rsid w:val="005069B4"/>
    <w:rPr>
      <w:rFonts w:ascii="Times New Roman" w:eastAsia="Calibri" w:hAnsi="Times New Roman" w:cs="Times New Roman"/>
      <w:snapToGrid w:val="0"/>
      <w:sz w:val="24"/>
      <w:szCs w:val="24"/>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Footnote Reference Number,16 Point,Ref"/>
    <w:link w:val="Char2"/>
    <w:uiPriority w:val="99"/>
    <w:qFormat/>
    <w:rsid w:val="008319F7"/>
    <w:rPr>
      <w:sz w:val="24"/>
      <w:vertAlign w:val="superscript"/>
    </w:rPr>
  </w:style>
  <w:style w:type="paragraph" w:customStyle="1" w:styleId="Char2">
    <w:name w:val="Char2"/>
    <w:basedOn w:val="Normal"/>
    <w:link w:val="FootnoteReference"/>
    <w:uiPriority w:val="99"/>
    <w:rsid w:val="008319F7"/>
    <w:pPr>
      <w:spacing w:before="120" w:line="240" w:lineRule="exact"/>
    </w:pPr>
    <w:rPr>
      <w:sz w:val="24"/>
      <w:vertAlign w:val="superscript"/>
    </w:rPr>
  </w:style>
  <w:style w:type="paragraph" w:styleId="NormalWeb">
    <w:name w:val="Normal (Web)"/>
    <w:basedOn w:val="Normal"/>
    <w:uiPriority w:val="99"/>
    <w:semiHidden/>
    <w:unhideWhenUsed/>
    <w:rsid w:val="00B861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19036F"/>
    <w:rPr>
      <w:color w:val="954F72" w:themeColor="followedHyperlink"/>
      <w:u w:val="single"/>
    </w:rPr>
  </w:style>
  <w:style w:type="paragraph" w:styleId="BalloonText">
    <w:name w:val="Balloon Text"/>
    <w:basedOn w:val="Normal"/>
    <w:link w:val="BalloonTextChar"/>
    <w:uiPriority w:val="99"/>
    <w:semiHidden/>
    <w:unhideWhenUsed/>
    <w:rsid w:val="001903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36F"/>
    <w:rPr>
      <w:rFonts w:ascii="Segoe UI" w:hAnsi="Segoe UI" w:cs="Segoe UI"/>
      <w:sz w:val="18"/>
      <w:szCs w:val="18"/>
    </w:rPr>
  </w:style>
  <w:style w:type="character" w:styleId="CommentReference">
    <w:name w:val="annotation reference"/>
    <w:basedOn w:val="DefaultParagraphFont"/>
    <w:uiPriority w:val="99"/>
    <w:semiHidden/>
    <w:unhideWhenUsed/>
    <w:rsid w:val="007D6A53"/>
    <w:rPr>
      <w:sz w:val="16"/>
      <w:szCs w:val="16"/>
    </w:rPr>
  </w:style>
  <w:style w:type="paragraph" w:styleId="CommentText">
    <w:name w:val="annotation text"/>
    <w:basedOn w:val="Normal"/>
    <w:link w:val="CommentTextChar"/>
    <w:uiPriority w:val="99"/>
    <w:semiHidden/>
    <w:unhideWhenUsed/>
    <w:rsid w:val="007D6A53"/>
    <w:pPr>
      <w:spacing w:line="240" w:lineRule="auto"/>
    </w:pPr>
    <w:rPr>
      <w:sz w:val="20"/>
      <w:szCs w:val="20"/>
    </w:rPr>
  </w:style>
  <w:style w:type="character" w:customStyle="1" w:styleId="CommentTextChar">
    <w:name w:val="Comment Text Char"/>
    <w:basedOn w:val="DefaultParagraphFont"/>
    <w:link w:val="CommentText"/>
    <w:uiPriority w:val="99"/>
    <w:semiHidden/>
    <w:rsid w:val="007D6A53"/>
    <w:rPr>
      <w:sz w:val="20"/>
      <w:szCs w:val="20"/>
    </w:rPr>
  </w:style>
  <w:style w:type="paragraph" w:styleId="CommentSubject">
    <w:name w:val="annotation subject"/>
    <w:basedOn w:val="CommentText"/>
    <w:next w:val="CommentText"/>
    <w:link w:val="CommentSubjectChar"/>
    <w:uiPriority w:val="99"/>
    <w:semiHidden/>
    <w:unhideWhenUsed/>
    <w:rsid w:val="007D6A53"/>
    <w:rPr>
      <w:b/>
      <w:bCs/>
    </w:rPr>
  </w:style>
  <w:style w:type="character" w:customStyle="1" w:styleId="CommentSubjectChar">
    <w:name w:val="Comment Subject Char"/>
    <w:basedOn w:val="CommentTextChar"/>
    <w:link w:val="CommentSubject"/>
    <w:uiPriority w:val="99"/>
    <w:semiHidden/>
    <w:rsid w:val="007D6A53"/>
    <w:rPr>
      <w:b/>
      <w:bCs/>
      <w:sz w:val="20"/>
      <w:szCs w:val="20"/>
    </w:rPr>
  </w:style>
  <w:style w:type="paragraph" w:styleId="Revision">
    <w:name w:val="Revision"/>
    <w:hidden/>
    <w:uiPriority w:val="99"/>
    <w:semiHidden/>
    <w:rsid w:val="007D6A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88134">
      <w:bodyDiv w:val="1"/>
      <w:marLeft w:val="0"/>
      <w:marRight w:val="0"/>
      <w:marTop w:val="0"/>
      <w:marBottom w:val="0"/>
      <w:divBdr>
        <w:top w:val="none" w:sz="0" w:space="0" w:color="auto"/>
        <w:left w:val="none" w:sz="0" w:space="0" w:color="auto"/>
        <w:bottom w:val="none" w:sz="0" w:space="0" w:color="auto"/>
        <w:right w:val="none" w:sz="0" w:space="0" w:color="auto"/>
      </w:divBdr>
    </w:div>
    <w:div w:id="183638975">
      <w:bodyDiv w:val="1"/>
      <w:marLeft w:val="0"/>
      <w:marRight w:val="0"/>
      <w:marTop w:val="0"/>
      <w:marBottom w:val="0"/>
      <w:divBdr>
        <w:top w:val="none" w:sz="0" w:space="0" w:color="auto"/>
        <w:left w:val="none" w:sz="0" w:space="0" w:color="auto"/>
        <w:bottom w:val="none" w:sz="0" w:space="0" w:color="auto"/>
        <w:right w:val="none" w:sz="0" w:space="0" w:color="auto"/>
      </w:divBdr>
    </w:div>
    <w:div w:id="186873056">
      <w:bodyDiv w:val="1"/>
      <w:marLeft w:val="0"/>
      <w:marRight w:val="0"/>
      <w:marTop w:val="0"/>
      <w:marBottom w:val="0"/>
      <w:divBdr>
        <w:top w:val="none" w:sz="0" w:space="0" w:color="auto"/>
        <w:left w:val="none" w:sz="0" w:space="0" w:color="auto"/>
        <w:bottom w:val="none" w:sz="0" w:space="0" w:color="auto"/>
        <w:right w:val="none" w:sz="0" w:space="0" w:color="auto"/>
      </w:divBdr>
    </w:div>
    <w:div w:id="194779074">
      <w:bodyDiv w:val="1"/>
      <w:marLeft w:val="0"/>
      <w:marRight w:val="0"/>
      <w:marTop w:val="0"/>
      <w:marBottom w:val="0"/>
      <w:divBdr>
        <w:top w:val="none" w:sz="0" w:space="0" w:color="auto"/>
        <w:left w:val="none" w:sz="0" w:space="0" w:color="auto"/>
        <w:bottom w:val="none" w:sz="0" w:space="0" w:color="auto"/>
        <w:right w:val="none" w:sz="0" w:space="0" w:color="auto"/>
      </w:divBdr>
    </w:div>
    <w:div w:id="206718650">
      <w:bodyDiv w:val="1"/>
      <w:marLeft w:val="0"/>
      <w:marRight w:val="0"/>
      <w:marTop w:val="0"/>
      <w:marBottom w:val="0"/>
      <w:divBdr>
        <w:top w:val="none" w:sz="0" w:space="0" w:color="auto"/>
        <w:left w:val="none" w:sz="0" w:space="0" w:color="auto"/>
        <w:bottom w:val="none" w:sz="0" w:space="0" w:color="auto"/>
        <w:right w:val="none" w:sz="0" w:space="0" w:color="auto"/>
      </w:divBdr>
    </w:div>
    <w:div w:id="210918574">
      <w:bodyDiv w:val="1"/>
      <w:marLeft w:val="0"/>
      <w:marRight w:val="0"/>
      <w:marTop w:val="0"/>
      <w:marBottom w:val="0"/>
      <w:divBdr>
        <w:top w:val="none" w:sz="0" w:space="0" w:color="auto"/>
        <w:left w:val="none" w:sz="0" w:space="0" w:color="auto"/>
        <w:bottom w:val="none" w:sz="0" w:space="0" w:color="auto"/>
        <w:right w:val="none" w:sz="0" w:space="0" w:color="auto"/>
      </w:divBdr>
    </w:div>
    <w:div w:id="261686587">
      <w:bodyDiv w:val="1"/>
      <w:marLeft w:val="0"/>
      <w:marRight w:val="0"/>
      <w:marTop w:val="0"/>
      <w:marBottom w:val="0"/>
      <w:divBdr>
        <w:top w:val="none" w:sz="0" w:space="0" w:color="auto"/>
        <w:left w:val="none" w:sz="0" w:space="0" w:color="auto"/>
        <w:bottom w:val="none" w:sz="0" w:space="0" w:color="auto"/>
        <w:right w:val="none" w:sz="0" w:space="0" w:color="auto"/>
      </w:divBdr>
    </w:div>
    <w:div w:id="303124270">
      <w:bodyDiv w:val="1"/>
      <w:marLeft w:val="0"/>
      <w:marRight w:val="0"/>
      <w:marTop w:val="0"/>
      <w:marBottom w:val="0"/>
      <w:divBdr>
        <w:top w:val="none" w:sz="0" w:space="0" w:color="auto"/>
        <w:left w:val="none" w:sz="0" w:space="0" w:color="auto"/>
        <w:bottom w:val="none" w:sz="0" w:space="0" w:color="auto"/>
        <w:right w:val="none" w:sz="0" w:space="0" w:color="auto"/>
      </w:divBdr>
    </w:div>
    <w:div w:id="329527593">
      <w:bodyDiv w:val="1"/>
      <w:marLeft w:val="0"/>
      <w:marRight w:val="0"/>
      <w:marTop w:val="0"/>
      <w:marBottom w:val="0"/>
      <w:divBdr>
        <w:top w:val="none" w:sz="0" w:space="0" w:color="auto"/>
        <w:left w:val="none" w:sz="0" w:space="0" w:color="auto"/>
        <w:bottom w:val="none" w:sz="0" w:space="0" w:color="auto"/>
        <w:right w:val="none" w:sz="0" w:space="0" w:color="auto"/>
      </w:divBdr>
    </w:div>
    <w:div w:id="380054569">
      <w:bodyDiv w:val="1"/>
      <w:marLeft w:val="0"/>
      <w:marRight w:val="0"/>
      <w:marTop w:val="0"/>
      <w:marBottom w:val="0"/>
      <w:divBdr>
        <w:top w:val="none" w:sz="0" w:space="0" w:color="auto"/>
        <w:left w:val="none" w:sz="0" w:space="0" w:color="auto"/>
        <w:bottom w:val="none" w:sz="0" w:space="0" w:color="auto"/>
        <w:right w:val="none" w:sz="0" w:space="0" w:color="auto"/>
      </w:divBdr>
    </w:div>
    <w:div w:id="461312434">
      <w:bodyDiv w:val="1"/>
      <w:marLeft w:val="0"/>
      <w:marRight w:val="0"/>
      <w:marTop w:val="0"/>
      <w:marBottom w:val="0"/>
      <w:divBdr>
        <w:top w:val="none" w:sz="0" w:space="0" w:color="auto"/>
        <w:left w:val="none" w:sz="0" w:space="0" w:color="auto"/>
        <w:bottom w:val="none" w:sz="0" w:space="0" w:color="auto"/>
        <w:right w:val="none" w:sz="0" w:space="0" w:color="auto"/>
      </w:divBdr>
    </w:div>
    <w:div w:id="621109075">
      <w:bodyDiv w:val="1"/>
      <w:marLeft w:val="0"/>
      <w:marRight w:val="0"/>
      <w:marTop w:val="0"/>
      <w:marBottom w:val="0"/>
      <w:divBdr>
        <w:top w:val="none" w:sz="0" w:space="0" w:color="auto"/>
        <w:left w:val="none" w:sz="0" w:space="0" w:color="auto"/>
        <w:bottom w:val="none" w:sz="0" w:space="0" w:color="auto"/>
        <w:right w:val="none" w:sz="0" w:space="0" w:color="auto"/>
      </w:divBdr>
    </w:div>
    <w:div w:id="643122889">
      <w:bodyDiv w:val="1"/>
      <w:marLeft w:val="0"/>
      <w:marRight w:val="0"/>
      <w:marTop w:val="0"/>
      <w:marBottom w:val="0"/>
      <w:divBdr>
        <w:top w:val="none" w:sz="0" w:space="0" w:color="auto"/>
        <w:left w:val="none" w:sz="0" w:space="0" w:color="auto"/>
        <w:bottom w:val="none" w:sz="0" w:space="0" w:color="auto"/>
        <w:right w:val="none" w:sz="0" w:space="0" w:color="auto"/>
      </w:divBdr>
    </w:div>
    <w:div w:id="689375930">
      <w:bodyDiv w:val="1"/>
      <w:marLeft w:val="0"/>
      <w:marRight w:val="0"/>
      <w:marTop w:val="0"/>
      <w:marBottom w:val="0"/>
      <w:divBdr>
        <w:top w:val="none" w:sz="0" w:space="0" w:color="auto"/>
        <w:left w:val="none" w:sz="0" w:space="0" w:color="auto"/>
        <w:bottom w:val="none" w:sz="0" w:space="0" w:color="auto"/>
        <w:right w:val="none" w:sz="0" w:space="0" w:color="auto"/>
      </w:divBdr>
    </w:div>
    <w:div w:id="716011745">
      <w:bodyDiv w:val="1"/>
      <w:marLeft w:val="0"/>
      <w:marRight w:val="0"/>
      <w:marTop w:val="0"/>
      <w:marBottom w:val="0"/>
      <w:divBdr>
        <w:top w:val="none" w:sz="0" w:space="0" w:color="auto"/>
        <w:left w:val="none" w:sz="0" w:space="0" w:color="auto"/>
        <w:bottom w:val="none" w:sz="0" w:space="0" w:color="auto"/>
        <w:right w:val="none" w:sz="0" w:space="0" w:color="auto"/>
      </w:divBdr>
      <w:divsChild>
        <w:div w:id="40520970">
          <w:marLeft w:val="446"/>
          <w:marRight w:val="0"/>
          <w:marTop w:val="0"/>
          <w:marBottom w:val="0"/>
          <w:divBdr>
            <w:top w:val="none" w:sz="0" w:space="0" w:color="auto"/>
            <w:left w:val="none" w:sz="0" w:space="0" w:color="auto"/>
            <w:bottom w:val="none" w:sz="0" w:space="0" w:color="auto"/>
            <w:right w:val="none" w:sz="0" w:space="0" w:color="auto"/>
          </w:divBdr>
        </w:div>
        <w:div w:id="1595286212">
          <w:marLeft w:val="446"/>
          <w:marRight w:val="0"/>
          <w:marTop w:val="0"/>
          <w:marBottom w:val="0"/>
          <w:divBdr>
            <w:top w:val="none" w:sz="0" w:space="0" w:color="auto"/>
            <w:left w:val="none" w:sz="0" w:space="0" w:color="auto"/>
            <w:bottom w:val="none" w:sz="0" w:space="0" w:color="auto"/>
            <w:right w:val="none" w:sz="0" w:space="0" w:color="auto"/>
          </w:divBdr>
        </w:div>
      </w:divsChild>
    </w:div>
    <w:div w:id="890270310">
      <w:bodyDiv w:val="1"/>
      <w:marLeft w:val="0"/>
      <w:marRight w:val="0"/>
      <w:marTop w:val="0"/>
      <w:marBottom w:val="0"/>
      <w:divBdr>
        <w:top w:val="none" w:sz="0" w:space="0" w:color="auto"/>
        <w:left w:val="none" w:sz="0" w:space="0" w:color="auto"/>
        <w:bottom w:val="none" w:sz="0" w:space="0" w:color="auto"/>
        <w:right w:val="none" w:sz="0" w:space="0" w:color="auto"/>
      </w:divBdr>
    </w:div>
    <w:div w:id="890337511">
      <w:bodyDiv w:val="1"/>
      <w:marLeft w:val="0"/>
      <w:marRight w:val="0"/>
      <w:marTop w:val="0"/>
      <w:marBottom w:val="0"/>
      <w:divBdr>
        <w:top w:val="none" w:sz="0" w:space="0" w:color="auto"/>
        <w:left w:val="none" w:sz="0" w:space="0" w:color="auto"/>
        <w:bottom w:val="none" w:sz="0" w:space="0" w:color="auto"/>
        <w:right w:val="none" w:sz="0" w:space="0" w:color="auto"/>
      </w:divBdr>
    </w:div>
    <w:div w:id="905724202">
      <w:bodyDiv w:val="1"/>
      <w:marLeft w:val="0"/>
      <w:marRight w:val="0"/>
      <w:marTop w:val="0"/>
      <w:marBottom w:val="0"/>
      <w:divBdr>
        <w:top w:val="none" w:sz="0" w:space="0" w:color="auto"/>
        <w:left w:val="none" w:sz="0" w:space="0" w:color="auto"/>
        <w:bottom w:val="none" w:sz="0" w:space="0" w:color="auto"/>
        <w:right w:val="none" w:sz="0" w:space="0" w:color="auto"/>
      </w:divBdr>
    </w:div>
    <w:div w:id="1105424566">
      <w:bodyDiv w:val="1"/>
      <w:marLeft w:val="0"/>
      <w:marRight w:val="0"/>
      <w:marTop w:val="0"/>
      <w:marBottom w:val="0"/>
      <w:divBdr>
        <w:top w:val="none" w:sz="0" w:space="0" w:color="auto"/>
        <w:left w:val="none" w:sz="0" w:space="0" w:color="auto"/>
        <w:bottom w:val="none" w:sz="0" w:space="0" w:color="auto"/>
        <w:right w:val="none" w:sz="0" w:space="0" w:color="auto"/>
      </w:divBdr>
    </w:div>
    <w:div w:id="1169708149">
      <w:bodyDiv w:val="1"/>
      <w:marLeft w:val="0"/>
      <w:marRight w:val="0"/>
      <w:marTop w:val="0"/>
      <w:marBottom w:val="0"/>
      <w:divBdr>
        <w:top w:val="none" w:sz="0" w:space="0" w:color="auto"/>
        <w:left w:val="none" w:sz="0" w:space="0" w:color="auto"/>
        <w:bottom w:val="none" w:sz="0" w:space="0" w:color="auto"/>
        <w:right w:val="none" w:sz="0" w:space="0" w:color="auto"/>
      </w:divBdr>
    </w:div>
    <w:div w:id="1246647750">
      <w:bodyDiv w:val="1"/>
      <w:marLeft w:val="0"/>
      <w:marRight w:val="0"/>
      <w:marTop w:val="0"/>
      <w:marBottom w:val="0"/>
      <w:divBdr>
        <w:top w:val="none" w:sz="0" w:space="0" w:color="auto"/>
        <w:left w:val="none" w:sz="0" w:space="0" w:color="auto"/>
        <w:bottom w:val="none" w:sz="0" w:space="0" w:color="auto"/>
        <w:right w:val="none" w:sz="0" w:space="0" w:color="auto"/>
      </w:divBdr>
    </w:div>
    <w:div w:id="1253855323">
      <w:bodyDiv w:val="1"/>
      <w:marLeft w:val="0"/>
      <w:marRight w:val="0"/>
      <w:marTop w:val="0"/>
      <w:marBottom w:val="0"/>
      <w:divBdr>
        <w:top w:val="none" w:sz="0" w:space="0" w:color="auto"/>
        <w:left w:val="none" w:sz="0" w:space="0" w:color="auto"/>
        <w:bottom w:val="none" w:sz="0" w:space="0" w:color="auto"/>
        <w:right w:val="none" w:sz="0" w:space="0" w:color="auto"/>
      </w:divBdr>
    </w:div>
    <w:div w:id="1330718417">
      <w:bodyDiv w:val="1"/>
      <w:marLeft w:val="0"/>
      <w:marRight w:val="0"/>
      <w:marTop w:val="0"/>
      <w:marBottom w:val="0"/>
      <w:divBdr>
        <w:top w:val="none" w:sz="0" w:space="0" w:color="auto"/>
        <w:left w:val="none" w:sz="0" w:space="0" w:color="auto"/>
        <w:bottom w:val="none" w:sz="0" w:space="0" w:color="auto"/>
        <w:right w:val="none" w:sz="0" w:space="0" w:color="auto"/>
      </w:divBdr>
    </w:div>
    <w:div w:id="1367609008">
      <w:bodyDiv w:val="1"/>
      <w:marLeft w:val="0"/>
      <w:marRight w:val="0"/>
      <w:marTop w:val="0"/>
      <w:marBottom w:val="0"/>
      <w:divBdr>
        <w:top w:val="none" w:sz="0" w:space="0" w:color="auto"/>
        <w:left w:val="none" w:sz="0" w:space="0" w:color="auto"/>
        <w:bottom w:val="none" w:sz="0" w:space="0" w:color="auto"/>
        <w:right w:val="none" w:sz="0" w:space="0" w:color="auto"/>
      </w:divBdr>
    </w:div>
    <w:div w:id="1489665995">
      <w:bodyDiv w:val="1"/>
      <w:marLeft w:val="0"/>
      <w:marRight w:val="0"/>
      <w:marTop w:val="0"/>
      <w:marBottom w:val="0"/>
      <w:divBdr>
        <w:top w:val="none" w:sz="0" w:space="0" w:color="auto"/>
        <w:left w:val="none" w:sz="0" w:space="0" w:color="auto"/>
        <w:bottom w:val="none" w:sz="0" w:space="0" w:color="auto"/>
        <w:right w:val="none" w:sz="0" w:space="0" w:color="auto"/>
      </w:divBdr>
    </w:div>
    <w:div w:id="1610508542">
      <w:bodyDiv w:val="1"/>
      <w:marLeft w:val="0"/>
      <w:marRight w:val="0"/>
      <w:marTop w:val="0"/>
      <w:marBottom w:val="0"/>
      <w:divBdr>
        <w:top w:val="none" w:sz="0" w:space="0" w:color="auto"/>
        <w:left w:val="none" w:sz="0" w:space="0" w:color="auto"/>
        <w:bottom w:val="none" w:sz="0" w:space="0" w:color="auto"/>
        <w:right w:val="none" w:sz="0" w:space="0" w:color="auto"/>
      </w:divBdr>
    </w:div>
    <w:div w:id="1739554578">
      <w:bodyDiv w:val="1"/>
      <w:marLeft w:val="0"/>
      <w:marRight w:val="0"/>
      <w:marTop w:val="0"/>
      <w:marBottom w:val="0"/>
      <w:divBdr>
        <w:top w:val="none" w:sz="0" w:space="0" w:color="auto"/>
        <w:left w:val="none" w:sz="0" w:space="0" w:color="auto"/>
        <w:bottom w:val="none" w:sz="0" w:space="0" w:color="auto"/>
        <w:right w:val="none" w:sz="0" w:space="0" w:color="auto"/>
      </w:divBdr>
    </w:div>
    <w:div w:id="1851140815">
      <w:bodyDiv w:val="1"/>
      <w:marLeft w:val="0"/>
      <w:marRight w:val="0"/>
      <w:marTop w:val="0"/>
      <w:marBottom w:val="0"/>
      <w:divBdr>
        <w:top w:val="none" w:sz="0" w:space="0" w:color="auto"/>
        <w:left w:val="none" w:sz="0" w:space="0" w:color="auto"/>
        <w:bottom w:val="none" w:sz="0" w:space="0" w:color="auto"/>
        <w:right w:val="none" w:sz="0" w:space="0" w:color="auto"/>
      </w:divBdr>
    </w:div>
    <w:div w:id="1933314631">
      <w:bodyDiv w:val="1"/>
      <w:marLeft w:val="0"/>
      <w:marRight w:val="0"/>
      <w:marTop w:val="0"/>
      <w:marBottom w:val="0"/>
      <w:divBdr>
        <w:top w:val="none" w:sz="0" w:space="0" w:color="auto"/>
        <w:left w:val="none" w:sz="0" w:space="0" w:color="auto"/>
        <w:bottom w:val="none" w:sz="0" w:space="0" w:color="auto"/>
        <w:right w:val="none" w:sz="0" w:space="0" w:color="auto"/>
      </w:divBdr>
    </w:div>
    <w:div w:id="2043624098">
      <w:bodyDiv w:val="1"/>
      <w:marLeft w:val="0"/>
      <w:marRight w:val="0"/>
      <w:marTop w:val="0"/>
      <w:marBottom w:val="0"/>
      <w:divBdr>
        <w:top w:val="none" w:sz="0" w:space="0" w:color="auto"/>
        <w:left w:val="none" w:sz="0" w:space="0" w:color="auto"/>
        <w:bottom w:val="none" w:sz="0" w:space="0" w:color="auto"/>
        <w:right w:val="none" w:sz="0" w:space="0" w:color="auto"/>
      </w:divBdr>
    </w:div>
    <w:div w:id="2050177370">
      <w:bodyDiv w:val="1"/>
      <w:marLeft w:val="0"/>
      <w:marRight w:val="0"/>
      <w:marTop w:val="0"/>
      <w:marBottom w:val="0"/>
      <w:divBdr>
        <w:top w:val="none" w:sz="0" w:space="0" w:color="auto"/>
        <w:left w:val="none" w:sz="0" w:space="0" w:color="auto"/>
        <w:bottom w:val="none" w:sz="0" w:space="0" w:color="auto"/>
        <w:right w:val="none" w:sz="0" w:space="0" w:color="auto"/>
      </w:divBdr>
    </w:div>
    <w:div w:id="207364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eas.europa.eu/delegations/uganda/30044/scoping-study-development-initiative-northern-uganda-final-report_en" TargetMode="External"/><Relationship Id="rId18" Type="http://schemas.openxmlformats.org/officeDocument/2006/relationships/hyperlink" Target="https://www.finance.go.u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finance.go.ug/" TargetMode="External"/><Relationship Id="rId7" Type="http://schemas.openxmlformats.org/officeDocument/2006/relationships/endnotes" Target="endnotes.xml"/><Relationship Id="rId12" Type="http://schemas.openxmlformats.org/officeDocument/2006/relationships/hyperlink" Target="https://ec.europa.eu/europeaid/sites/devco/files/guidelines-env-climate-change-sust-dev-20160201_en.pdf" TargetMode="External"/><Relationship Id="rId17" Type="http://schemas.openxmlformats.org/officeDocument/2006/relationships/hyperlink" Target="https://webgate.ec.europa.eu/europeaid/online-services/index.cfm?do=publi.welcom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opm.go.ug/%20and%20on%20the%20website%20of%20the%20European%20Union%20Delegation%20to%20Uganda:%20https://eeas.europa.eu/delegations/uganda_en%20" TargetMode="External"/><Relationship Id="rId20" Type="http://schemas.openxmlformats.org/officeDocument/2006/relationships/hyperlink" Target="https://webgate.ec.europa.eu/europeaid/online-services/index.cfm?do=publi.welco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finance.go.ug/" TargetMode="External"/><Relationship Id="rId23" Type="http://schemas.openxmlformats.org/officeDocument/2006/relationships/hyperlink" Target="https://webgate.ec.europa.eu/europeaid/online-services/index.cfm?do=publi.welcome" TargetMode="External"/><Relationship Id="rId10" Type="http://schemas.openxmlformats.org/officeDocument/2006/relationships/footer" Target="footer1.xml"/><Relationship Id="rId19" Type="http://schemas.openxmlformats.org/officeDocument/2006/relationships/hyperlink" Target="https://www.opm.go.ug/%20and%20on%20the%20website%20of%20the%20European%20Union%20Delegation%20to%20Uganda:%20https://eeas.europa.eu/delegations/uganda_en%2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eas.europa.eu/delegations/uganda/30044/scoping-study-development-initiative-northern-uganda-final-report_en" TargetMode="External"/><Relationship Id="rId22" Type="http://schemas.openxmlformats.org/officeDocument/2006/relationships/hyperlink" Target="https://www.opm.go.ug/%20and%20on%20the%20website%20of%20the%20European%20Union%20Delegation%20to%20Uganda:%20https://eeas.europa.eu/delegations/uganda_en%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75723-A4D9-44B1-A9E0-B3C800E25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6555</Words>
  <Characters>37366</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43834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Ronald Kasozi</dc:creator>
  <cp:lastModifiedBy>Raymond Mugyenyi</cp:lastModifiedBy>
  <cp:revision>2</cp:revision>
  <cp:lastPrinted>2019-06-07T12:51:00Z</cp:lastPrinted>
  <dcterms:created xsi:type="dcterms:W3CDTF">2019-06-14T10:34:00Z</dcterms:created>
  <dcterms:modified xsi:type="dcterms:W3CDTF">2019-06-14T10:34:00Z</dcterms:modified>
</cp:coreProperties>
</file>