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B0" w:rsidRDefault="007F22B0" w:rsidP="007F22B0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="Bookman Old Style" w:hAnsi="Bookman Old Style" w:cs="Helvetica"/>
          <w:b/>
          <w:color w:val="1C1E21"/>
        </w:rPr>
      </w:pPr>
      <w:r w:rsidRPr="007F22B0">
        <w:rPr>
          <w:rFonts w:ascii="Bookman Old Style" w:hAnsi="Bookman Old Style" w:cs="Helvetica"/>
          <w:b/>
          <w:color w:val="1C1E21"/>
        </w:rPr>
        <w:t>MINISTRY OF FINANCE PRESENTS NATIONAL BUDGET FRAMEWORK PAPER TO PARLIAMENT</w:t>
      </w:r>
    </w:p>
    <w:p w:rsidR="007F22B0" w:rsidRPr="007F22B0" w:rsidRDefault="007F22B0" w:rsidP="007F22B0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="Bookman Old Style" w:hAnsi="Bookman Old Style" w:cs="Helvetica"/>
          <w:b/>
          <w:color w:val="1C1E21"/>
        </w:rPr>
      </w:pPr>
      <w:r w:rsidRPr="007F22B0">
        <w:rPr>
          <w:rFonts w:ascii="Bookman Old Style" w:hAnsi="Bookman Old Style" w:cs="Helvetica"/>
          <w:b/>
          <w:color w:val="1C1E21"/>
        </w:rPr>
        <w:t>22</w:t>
      </w:r>
      <w:r w:rsidRPr="007F22B0">
        <w:rPr>
          <w:rFonts w:ascii="Bookman Old Style" w:hAnsi="Bookman Old Style" w:cs="Helvetica"/>
          <w:b/>
          <w:color w:val="1C1E21"/>
          <w:vertAlign w:val="superscript"/>
        </w:rPr>
        <w:t xml:space="preserve">nd </w:t>
      </w:r>
      <w:r w:rsidRPr="007F22B0">
        <w:rPr>
          <w:rFonts w:ascii="Bookman Old Style" w:hAnsi="Bookman Old Style" w:cs="Helvetica"/>
          <w:b/>
          <w:color w:val="1C1E21"/>
        </w:rPr>
        <w:t>January, 2020</w:t>
      </w:r>
    </w:p>
    <w:p w:rsidR="00E50EE6" w:rsidRPr="007F22B0" w:rsidRDefault="00E50EE6" w:rsidP="007F22B0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="Bookman Old Style" w:hAnsi="Bookman Old Style" w:cs="Helvetica"/>
          <w:color w:val="1C1E21"/>
        </w:rPr>
      </w:pPr>
      <w:r w:rsidRPr="007F22B0">
        <w:rPr>
          <w:rFonts w:ascii="Bookman Old Style" w:hAnsi="Bookman Old Style" w:cs="Helvetica"/>
          <w:color w:val="1C1E21"/>
        </w:rPr>
        <w:t>Ministry of Finance has presented the National budget framework paper</w:t>
      </w:r>
      <w:r w:rsidR="007F22B0">
        <w:rPr>
          <w:rFonts w:ascii="Bookman Old Style" w:hAnsi="Bookman Old Style" w:cs="Helvetica"/>
          <w:color w:val="1C1E21"/>
        </w:rPr>
        <w:t xml:space="preserve"> (NBFP)</w:t>
      </w:r>
      <w:r w:rsidRPr="007F22B0">
        <w:rPr>
          <w:rFonts w:ascii="Bookman Old Style" w:hAnsi="Bookman Old Style" w:cs="Helvetica"/>
          <w:color w:val="1C1E21"/>
        </w:rPr>
        <w:t xml:space="preserve"> for FY 2020/21 to FY 2024/25 to the Finance Committee of </w:t>
      </w:r>
      <w:r w:rsidR="007F22B0" w:rsidRPr="007F22B0">
        <w:rPr>
          <w:rFonts w:ascii="Bookman Old Style" w:hAnsi="Bookman Old Style" w:cs="Helvetica"/>
          <w:color w:val="1C1E21"/>
        </w:rPr>
        <w:t>Parliament. The</w:t>
      </w:r>
      <w:r w:rsidRPr="007F22B0">
        <w:rPr>
          <w:rFonts w:ascii="Bookman Old Style" w:hAnsi="Bookman Old Style" w:cs="Helvetica"/>
          <w:color w:val="1C1E21"/>
        </w:rPr>
        <w:t xml:space="preserve"> National BFP is prepared in fulfilment of section 9 of the Public Finance Management (PFM) Act 2015.</w:t>
      </w:r>
    </w:p>
    <w:p w:rsidR="007F22B0" w:rsidRDefault="007F22B0" w:rsidP="007F22B0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Bookman Old Style" w:hAnsi="Bookman Old Style" w:cs="Helvetica"/>
          <w:color w:val="1C1E21"/>
        </w:rPr>
      </w:pPr>
    </w:p>
    <w:p w:rsidR="00E50EE6" w:rsidRDefault="007F22B0" w:rsidP="00D426CF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Bookman Old Style" w:hAnsi="Bookman Old Style" w:cs="Helvetica"/>
          <w:color w:val="1C1E21"/>
        </w:rPr>
      </w:pPr>
      <w:r>
        <w:rPr>
          <w:rFonts w:ascii="Bookman Old Style" w:hAnsi="Bookman Old Style" w:cs="Helvetica"/>
          <w:color w:val="1C1E21"/>
        </w:rPr>
        <w:t xml:space="preserve">According to the NBFP, </w:t>
      </w:r>
      <w:r w:rsidR="00E50EE6" w:rsidRPr="007F22B0">
        <w:rPr>
          <w:rFonts w:ascii="Bookman Old Style" w:hAnsi="Bookman Old Style" w:cs="Helvetica"/>
          <w:color w:val="1C1E21"/>
        </w:rPr>
        <w:t>Uganda's economy grew at 6.5% in real terms during FY 2018/19 and after rebasing of GDP, the size of the economy increased to Ushs 128.5 trillion up from the initial estimate of Ushs 108.5 trillion.</w:t>
      </w:r>
      <w:r w:rsidR="00D426CF">
        <w:rPr>
          <w:rFonts w:ascii="Bookman Old Style" w:hAnsi="Bookman Old Style" w:cs="Helvetica"/>
          <w:color w:val="1C1E21"/>
        </w:rPr>
        <w:t xml:space="preserve"> </w:t>
      </w:r>
      <w:r w:rsidR="00E50EE6" w:rsidRPr="007F22B0">
        <w:rPr>
          <w:rFonts w:ascii="Bookman Old Style" w:hAnsi="Bookman Old Style" w:cs="Helvetica"/>
          <w:color w:val="1C1E21"/>
        </w:rPr>
        <w:t>Real GDP growth is projected at 6.3% and 6.2% in FY 2019/20 and FY 2020/21 respectively and is expected to reach 7.0% by FY 2024/25.</w:t>
      </w:r>
    </w:p>
    <w:p w:rsidR="00D426CF" w:rsidRPr="007F22B0" w:rsidRDefault="00D426CF" w:rsidP="007F22B0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="Bookman Old Style" w:hAnsi="Bookman Old Style" w:cs="Helvetica"/>
          <w:color w:val="1C1E21"/>
        </w:rPr>
      </w:pPr>
    </w:p>
    <w:p w:rsidR="00E50EE6" w:rsidRPr="007F22B0" w:rsidRDefault="00E50EE6" w:rsidP="007F22B0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Bookman Old Style" w:hAnsi="Bookman Old Style" w:cs="Helvetica"/>
          <w:color w:val="1C1E21"/>
        </w:rPr>
      </w:pPr>
      <w:r w:rsidRPr="007F22B0">
        <w:rPr>
          <w:rFonts w:ascii="Bookman Old Style" w:hAnsi="Bookman Old Style" w:cs="Helvetica"/>
          <w:color w:val="1C1E21"/>
        </w:rPr>
        <w:t>The overall focus of the budget strategy for FY 2020/21 is to address challenges hindering the speed of economic transformation, rural economic development, expansion of the industrial base, job growth and delive</w:t>
      </w:r>
      <w:r w:rsidR="001855E8">
        <w:rPr>
          <w:rFonts w:ascii="Bookman Old Style" w:hAnsi="Bookman Old Style" w:cs="Helvetica"/>
          <w:color w:val="1C1E21"/>
        </w:rPr>
        <w:t>ry of essential social services under the theme:</w:t>
      </w:r>
      <w:r w:rsidRPr="007F22B0">
        <w:rPr>
          <w:rFonts w:ascii="Bookman Old Style" w:hAnsi="Bookman Old Style" w:cs="Helvetica"/>
          <w:color w:val="1C1E21"/>
        </w:rPr>
        <w:t xml:space="preserve"> "Sustainable Industrialization for inclusive </w:t>
      </w:r>
      <w:r w:rsidR="001855E8" w:rsidRPr="007F22B0">
        <w:rPr>
          <w:rFonts w:ascii="Bookman Old Style" w:hAnsi="Bookman Old Style" w:cs="Helvetica"/>
          <w:color w:val="1C1E21"/>
        </w:rPr>
        <w:t>growth, employment</w:t>
      </w:r>
      <w:r w:rsidRPr="007F22B0">
        <w:rPr>
          <w:rFonts w:ascii="Bookman Old Style" w:hAnsi="Bookman Old Style" w:cs="Helvetica"/>
          <w:color w:val="1C1E21"/>
        </w:rPr>
        <w:t xml:space="preserve"> and wealth creation."</w:t>
      </w:r>
    </w:p>
    <w:p w:rsidR="001855E8" w:rsidRDefault="001855E8" w:rsidP="007F22B0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Bookman Old Style" w:hAnsi="Bookman Old Style" w:cs="Helvetica"/>
          <w:color w:val="1C1E21"/>
        </w:rPr>
      </w:pPr>
    </w:p>
    <w:p w:rsidR="00E50EE6" w:rsidRDefault="00E50EE6" w:rsidP="007F22B0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Bookman Old Style" w:hAnsi="Bookman Old Style" w:cs="Helvetica"/>
          <w:color w:val="1C1E21"/>
        </w:rPr>
      </w:pPr>
      <w:r w:rsidRPr="007F22B0">
        <w:rPr>
          <w:rFonts w:ascii="Bookman Old Style" w:hAnsi="Bookman Old Style" w:cs="Helvetica"/>
          <w:color w:val="1C1E21"/>
        </w:rPr>
        <w:t>The total resource envelope for FY 2020/21 is projected to be UShs.39</w:t>
      </w:r>
      <w:r w:rsidR="001855E8">
        <w:rPr>
          <w:rFonts w:ascii="Bookman Old Style" w:hAnsi="Bookman Old Style" w:cs="Helvetica"/>
          <w:color w:val="1C1E21"/>
        </w:rPr>
        <w:t>,</w:t>
      </w:r>
      <w:r w:rsidR="001855E8" w:rsidRPr="007F22B0">
        <w:rPr>
          <w:rFonts w:ascii="Bookman Old Style" w:hAnsi="Bookman Old Style" w:cs="Helvetica"/>
          <w:color w:val="1C1E21"/>
        </w:rPr>
        <w:t>640.8</w:t>
      </w:r>
      <w:r w:rsidRPr="007F22B0">
        <w:rPr>
          <w:rFonts w:ascii="Bookman Old Style" w:hAnsi="Bookman Old Style" w:cs="Helvetica"/>
          <w:color w:val="1C1E21"/>
        </w:rPr>
        <w:t xml:space="preserve"> billion (39</w:t>
      </w:r>
      <w:r w:rsidR="001855E8">
        <w:rPr>
          <w:rFonts w:ascii="Bookman Old Style" w:hAnsi="Bookman Old Style" w:cs="Helvetica"/>
          <w:color w:val="1C1E21"/>
        </w:rPr>
        <w:t>.6</w:t>
      </w:r>
      <w:r w:rsidRPr="007F22B0">
        <w:rPr>
          <w:rFonts w:ascii="Bookman Old Style" w:hAnsi="Bookman Old Style" w:cs="Helvetica"/>
          <w:color w:val="1C1E21"/>
        </w:rPr>
        <w:t xml:space="preserve"> trillion</w:t>
      </w:r>
      <w:r w:rsidR="001855E8">
        <w:rPr>
          <w:rFonts w:ascii="Bookman Old Style" w:hAnsi="Bookman Old Style" w:cs="Helvetica"/>
          <w:color w:val="1C1E21"/>
        </w:rPr>
        <w:t>)</w:t>
      </w:r>
      <w:r w:rsidRPr="007F22B0">
        <w:rPr>
          <w:rFonts w:ascii="Bookman Old Style" w:hAnsi="Bookman Old Style" w:cs="Helvetica"/>
          <w:color w:val="1C1E21"/>
        </w:rPr>
        <w:t xml:space="preserve"> and it comprises of both domestic and external sources down from Ushs.40,487.9 billion </w:t>
      </w:r>
      <w:r w:rsidR="001855E8" w:rsidRPr="007F22B0">
        <w:rPr>
          <w:rFonts w:ascii="Bookman Old Style" w:hAnsi="Bookman Old Style" w:cs="Helvetica"/>
          <w:color w:val="1C1E21"/>
        </w:rPr>
        <w:t>(40.4</w:t>
      </w:r>
      <w:r w:rsidRPr="007F22B0">
        <w:rPr>
          <w:rFonts w:ascii="Bookman Old Style" w:hAnsi="Bookman Old Style" w:cs="Helvetica"/>
          <w:color w:val="1C1E21"/>
        </w:rPr>
        <w:t xml:space="preserve"> trillion). This is largely on account of reduction in external financing.</w:t>
      </w:r>
    </w:p>
    <w:p w:rsidR="001855E8" w:rsidRDefault="001855E8" w:rsidP="007F22B0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Bookman Old Style" w:hAnsi="Bookman Old Style" w:cs="Helvetica"/>
          <w:color w:val="1C1E21"/>
        </w:rPr>
      </w:pPr>
    </w:p>
    <w:p w:rsidR="001855E8" w:rsidRDefault="001855E8" w:rsidP="007F22B0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Bookman Old Style" w:hAnsi="Bookman Old Style" w:cs="Helvetica"/>
          <w:color w:val="1C1E21"/>
        </w:rPr>
      </w:pPr>
      <w:r>
        <w:rPr>
          <w:rFonts w:ascii="Bookman Old Style" w:hAnsi="Bookman Old Style" w:cs="Helvetica"/>
          <w:color w:val="1C1E21"/>
        </w:rPr>
        <w:t xml:space="preserve">In order to ensure alignment of the budget to the objectives of the third National Development Plan, the interventions for FY 2020/21 will fall under strategic clusters namely: Increasing production and productivity in the productive sectors of the </w:t>
      </w:r>
      <w:r w:rsidR="003E7060">
        <w:rPr>
          <w:rFonts w:ascii="Bookman Old Style" w:hAnsi="Bookman Old Style" w:cs="Helvetica"/>
          <w:color w:val="1C1E21"/>
        </w:rPr>
        <w:t>economy, enhancing private sector competitiveness as well as consolidation and increasing of the infrastructure stock.</w:t>
      </w:r>
    </w:p>
    <w:p w:rsidR="003E7060" w:rsidRDefault="003E7060" w:rsidP="007F22B0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Bookman Old Style" w:hAnsi="Bookman Old Style" w:cs="Helvetica"/>
          <w:color w:val="1C1E21"/>
        </w:rPr>
      </w:pPr>
    </w:p>
    <w:p w:rsidR="003E7060" w:rsidRDefault="003E7060" w:rsidP="007F22B0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Bookman Old Style" w:hAnsi="Bookman Old Style" w:cs="Helvetica"/>
          <w:color w:val="1C1E21"/>
        </w:rPr>
      </w:pPr>
      <w:r>
        <w:rPr>
          <w:rFonts w:ascii="Bookman Old Style" w:hAnsi="Bookman Old Style" w:cs="Helvetica"/>
          <w:color w:val="1C1E21"/>
        </w:rPr>
        <w:t>Other clusters are: Improving social service provision and regional equity, improving the effectiveness of governance and maintaining peace and security.</w:t>
      </w:r>
    </w:p>
    <w:p w:rsidR="003E7060" w:rsidRDefault="003E7060" w:rsidP="007F22B0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Bookman Old Style" w:hAnsi="Bookman Old Style" w:cs="Helvetica"/>
          <w:color w:val="1C1E21"/>
        </w:rPr>
      </w:pPr>
      <w:r>
        <w:rPr>
          <w:rFonts w:ascii="Bookman Old Style" w:hAnsi="Bookman Old Style" w:cs="Helvetica"/>
          <w:color w:val="1C1E21"/>
        </w:rPr>
        <w:t>The commitment towards debt sustainability will be through reducing reliance on debt by increasing domestic revenue through the operationalization of the domestic revenue mobilisation strategy (DRMS) among other measures.</w:t>
      </w:r>
    </w:p>
    <w:p w:rsidR="003E7060" w:rsidRDefault="003E7060" w:rsidP="007F22B0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Bookman Old Style" w:hAnsi="Bookman Old Style" w:cs="Helvetica"/>
          <w:color w:val="1C1E21"/>
        </w:rPr>
      </w:pPr>
    </w:p>
    <w:p w:rsidR="00F43A85" w:rsidRDefault="003E7060" w:rsidP="007F22B0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Bookman Old Style" w:hAnsi="Bookman Old Style" w:cs="Helvetica"/>
          <w:color w:val="1C1E21"/>
        </w:rPr>
      </w:pPr>
      <w:r>
        <w:rPr>
          <w:rFonts w:ascii="Bookman Old Style" w:hAnsi="Bookman Old Style" w:cs="Helvetica"/>
          <w:color w:val="1C1E21"/>
        </w:rPr>
        <w:t>As at end of June 2019</w:t>
      </w:r>
      <w:r w:rsidR="00A154DD">
        <w:rPr>
          <w:rFonts w:ascii="Bookman Old Style" w:hAnsi="Bookman Old Style" w:cs="Helvetica"/>
          <w:color w:val="1C1E21"/>
        </w:rPr>
        <w:t>, the</w:t>
      </w:r>
      <w:r>
        <w:rPr>
          <w:rFonts w:ascii="Bookman Old Style" w:hAnsi="Bookman Old Style" w:cs="Helvetica"/>
          <w:color w:val="1C1E21"/>
        </w:rPr>
        <w:t xml:space="preserve"> stock of public debt amounted to US$ 12.55 </w:t>
      </w:r>
      <w:r w:rsidR="00A154DD">
        <w:rPr>
          <w:rFonts w:ascii="Bookman Old Style" w:hAnsi="Bookman Old Style" w:cs="Helvetica"/>
          <w:color w:val="1C1E21"/>
        </w:rPr>
        <w:t>billion of</w:t>
      </w:r>
      <w:r>
        <w:rPr>
          <w:rFonts w:ascii="Bookman Old Style" w:hAnsi="Bookman Old Style" w:cs="Helvetica"/>
          <w:color w:val="1C1E21"/>
        </w:rPr>
        <w:t xml:space="preserve"> which external debt was US$8.35 </w:t>
      </w:r>
      <w:r w:rsidR="00A154DD">
        <w:rPr>
          <w:rFonts w:ascii="Bookman Old Style" w:hAnsi="Bookman Old Style" w:cs="Helvetica"/>
          <w:color w:val="1C1E21"/>
        </w:rPr>
        <w:t>billion (</w:t>
      </w:r>
      <w:r>
        <w:rPr>
          <w:rFonts w:ascii="Bookman Old Style" w:hAnsi="Bookman Old Style" w:cs="Helvetica"/>
          <w:color w:val="1C1E21"/>
        </w:rPr>
        <w:t xml:space="preserve">approx. Ushs 30.85 </w:t>
      </w:r>
      <w:r w:rsidR="00A154DD">
        <w:rPr>
          <w:rFonts w:ascii="Bookman Old Style" w:hAnsi="Bookman Old Style" w:cs="Helvetica"/>
          <w:color w:val="1C1E21"/>
        </w:rPr>
        <w:t>trillion)</w:t>
      </w:r>
      <w:r>
        <w:rPr>
          <w:rFonts w:ascii="Bookman Old Style" w:hAnsi="Bookman Old Style" w:cs="Helvetica"/>
          <w:color w:val="1C1E21"/>
        </w:rPr>
        <w:t xml:space="preserve"> and domestic debt was US$ 4.2 billion</w:t>
      </w:r>
      <w:r w:rsidR="00A154DD">
        <w:rPr>
          <w:rFonts w:ascii="Bookman Old Style" w:hAnsi="Bookman Old Style" w:cs="Helvetica"/>
          <w:color w:val="1C1E21"/>
        </w:rPr>
        <w:t xml:space="preserve"> (Ushs 15.51 trillion</w:t>
      </w:r>
      <w:r w:rsidR="00870BD4">
        <w:rPr>
          <w:rFonts w:ascii="Bookman Old Style" w:hAnsi="Bookman Old Style" w:cs="Helvetica"/>
          <w:color w:val="1C1E21"/>
        </w:rPr>
        <w:t xml:space="preserve">). This is equivalent to 36.1% of GDP in nominal terms and 27.3% in present value terms. </w:t>
      </w:r>
    </w:p>
    <w:p w:rsidR="00870BD4" w:rsidRPr="007F22B0" w:rsidRDefault="00870BD4" w:rsidP="007F22B0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Bookman Old Style" w:hAnsi="Bookman Old Style" w:cs="Helvetica"/>
          <w:color w:val="1C1E21"/>
        </w:rPr>
      </w:pPr>
      <w:bookmarkStart w:id="0" w:name="_GoBack"/>
      <w:bookmarkEnd w:id="0"/>
      <w:r>
        <w:rPr>
          <w:rFonts w:ascii="Bookman Old Style" w:hAnsi="Bookman Old Style" w:cs="Helvetica"/>
          <w:color w:val="1C1E21"/>
        </w:rPr>
        <w:t>ENDS</w:t>
      </w:r>
    </w:p>
    <w:p w:rsidR="003E7060" w:rsidRPr="007F22B0" w:rsidRDefault="003E7060" w:rsidP="007F22B0">
      <w:pPr>
        <w:rPr>
          <w:rFonts w:ascii="Bookman Old Style" w:hAnsi="Bookman Old Style"/>
          <w:sz w:val="24"/>
          <w:szCs w:val="24"/>
        </w:rPr>
      </w:pPr>
    </w:p>
    <w:sectPr w:rsidR="003E7060" w:rsidRPr="007F22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E6"/>
    <w:rsid w:val="001855E8"/>
    <w:rsid w:val="003E7060"/>
    <w:rsid w:val="007F22B0"/>
    <w:rsid w:val="00870BD4"/>
    <w:rsid w:val="00893650"/>
    <w:rsid w:val="00A154DD"/>
    <w:rsid w:val="00A915D9"/>
    <w:rsid w:val="00D426CF"/>
    <w:rsid w:val="00E50EE6"/>
    <w:rsid w:val="00F4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ECE55"/>
  <w15:chartTrackingRefBased/>
  <w15:docId w15:val="{5CCE8609-41E9-4D37-A044-445BEB1C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480" w:lineRule="auto"/>
        <w:ind w:left="1440" w:hanging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0EE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4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Apollo Benon Munghinda</dc:creator>
  <cp:keywords/>
  <dc:description/>
  <cp:lastModifiedBy>Windows User</cp:lastModifiedBy>
  <cp:revision>2</cp:revision>
  <dcterms:created xsi:type="dcterms:W3CDTF">2020-01-22T15:16:00Z</dcterms:created>
  <dcterms:modified xsi:type="dcterms:W3CDTF">2020-01-22T15:16:00Z</dcterms:modified>
</cp:coreProperties>
</file>